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after="0" w:line="276" w:lineRule="auto"/>
        <w:rPr>
          <w:rFonts w:ascii="Arial" w:hAnsi="Arial" w:eastAsia="Arial" w:cs="Arial"/>
          <w:color w:val="000000"/>
          <w:sz w:val="22"/>
          <w:szCs w:val="22"/>
        </w:rPr>
      </w:pPr>
    </w:p>
    <w:tbl>
      <w:tblPr>
        <w:tblStyle w:val="50"/>
        <w:tblW w:w="8550" w:type="dxa"/>
        <w:tblInd w:w="-275" w:type="dxa"/>
        <w:tblBorders>
          <w:top w:val="none" w:color="auto" w:sz="0" w:space="0"/>
          <w:left w:val="none" w:color="auto" w:sz="0" w:space="0"/>
          <w:bottom w:val="none" w:color="auto" w:sz="0" w:space="0"/>
          <w:right w:val="none" w:color="auto" w:sz="0" w:space="0"/>
          <w:insideH w:val="single" w:color="000000" w:sz="4" w:space="0"/>
          <w:insideV w:val="none" w:color="auto" w:sz="0" w:space="0"/>
        </w:tblBorders>
        <w:tblLayout w:type="fixed"/>
        <w:tblCellMar>
          <w:top w:w="0" w:type="dxa"/>
          <w:left w:w="108" w:type="dxa"/>
          <w:bottom w:w="0" w:type="dxa"/>
          <w:right w:w="108" w:type="dxa"/>
        </w:tblCellMar>
      </w:tblPr>
      <w:tblGrid>
        <w:gridCol w:w="5675"/>
        <w:gridCol w:w="263"/>
        <w:gridCol w:w="2612"/>
      </w:tblGrid>
      <w:tr>
        <w:tblPrEx>
          <w:tblLayout w:type="fixed"/>
        </w:tblPrEx>
        <w:tc>
          <w:tcPr>
            <w:tcW w:w="8550" w:type="dxa"/>
            <w:gridSpan w:val="3"/>
          </w:tcPr>
          <w:p>
            <w:pPr>
              <w:spacing w:after="0" w:line="240" w:lineRule="auto"/>
              <w:rPr>
                <w:rFonts w:ascii="Cambria" w:hAnsi="Cambria" w:eastAsia="Times New Roman" w:cstheme="minorHAnsi"/>
                <w:b/>
                <w:lang w:val="en-US"/>
              </w:rPr>
            </w:pPr>
            <w:r>
              <w:rPr>
                <w:rFonts w:ascii="Cambria" w:hAnsi="Cambria" w:eastAsia="Times New Roman" w:cstheme="minorHAnsi"/>
                <w:b/>
                <w:lang w:val="en-US"/>
              </w:rPr>
              <w:t>Asuhan Keperawatan Pada Pasien CKD Dengan Masalah Keperawatan Intoleransi Aktivitas di RSUD Dr. Harjono Ponorogo Ruang Seruni</w:t>
            </w:r>
          </w:p>
        </w:tc>
      </w:tr>
      <w:tr>
        <w:tblPrEx>
          <w:tblLayout w:type="fixed"/>
        </w:tblPrEx>
        <w:tc>
          <w:tcPr>
            <w:tcW w:w="8550" w:type="dxa"/>
            <w:gridSpan w:val="3"/>
          </w:tcPr>
          <w:p>
            <w:pPr>
              <w:spacing w:after="0" w:line="240" w:lineRule="auto"/>
              <w:rPr>
                <w:rFonts w:ascii="Cambria" w:hAnsi="Cambria" w:eastAsia="Cambria" w:cs="Cambria"/>
                <w:vertAlign w:val="superscript"/>
              </w:rPr>
            </w:pPr>
            <w:r>
              <w:rPr>
                <w:rFonts w:ascii="Cambria" w:hAnsi="Cambria" w:eastAsia="Cambria" w:cs="Cambria"/>
                <w:lang w:val="en-US"/>
              </w:rPr>
              <w:t>Muhammd Dzaky Afif</w:t>
            </w:r>
            <w:r>
              <w:rPr>
                <w:rFonts w:ascii="Cambria" w:hAnsi="Cambria" w:eastAsia="Cambria" w:cs="Cambria"/>
                <w:vertAlign w:val="superscript"/>
              </w:rPr>
              <w:t>1*</w:t>
            </w:r>
            <w:r>
              <w:rPr>
                <w:rFonts w:ascii="Cambria" w:hAnsi="Cambria" w:eastAsia="Cambria" w:cs="Cambria"/>
              </w:rPr>
              <w:t xml:space="preserve">, </w:t>
            </w:r>
            <w:r>
              <w:rPr>
                <w:rFonts w:ascii="Cambria" w:hAnsi="Cambria" w:eastAsia="Cambria" w:cs="Cambria"/>
                <w:lang w:val="en-US"/>
              </w:rPr>
              <w:t>Yustina Purwaningsih</w:t>
            </w:r>
            <w:r>
              <w:rPr>
                <w:rFonts w:ascii="Cambria" w:hAnsi="Cambria" w:eastAsia="Cambria" w:cs="Cambria"/>
                <w:vertAlign w:val="superscript"/>
              </w:rPr>
              <w:t>2</w:t>
            </w:r>
            <w:r>
              <w:rPr>
                <w:rFonts w:ascii="Cambria" w:hAnsi="Cambria" w:eastAsia="Cambria" w:cs="Cambria"/>
              </w:rPr>
              <w:t xml:space="preserve">, </w:t>
            </w:r>
            <w:r>
              <w:rPr>
                <w:rFonts w:ascii="Cambria" w:hAnsi="Cambria" w:eastAsia="Cambria" w:cs="Cambria"/>
                <w:lang w:val="en-US"/>
              </w:rPr>
              <w:t>Agus Wiwit</w:t>
            </w:r>
            <w:r>
              <w:rPr>
                <w:rFonts w:ascii="Cambria" w:hAnsi="Cambria" w:eastAsia="Cambria" w:cs="Cambria"/>
                <w:vertAlign w:val="superscript"/>
              </w:rPr>
              <w:t>3</w:t>
            </w:r>
          </w:p>
          <w:p>
            <w:pPr>
              <w:spacing w:after="0" w:line="240" w:lineRule="auto"/>
              <w:rPr>
                <w:rFonts w:ascii="Cambria" w:hAnsi="Cambria" w:eastAsia="Cambria" w:cs="Cambria"/>
              </w:rPr>
            </w:pPr>
            <w:r>
              <w:rPr>
                <w:rFonts w:ascii="Cambria" w:hAnsi="Cambria" w:eastAsia="Cambria" w:cs="Cambria"/>
              </w:rPr>
              <w:t>Program studi Keperawatan, Poltekkes Kemenkes Malang, Indonesia</w:t>
            </w:r>
          </w:p>
          <w:p>
            <w:pPr>
              <w:spacing w:after="0" w:line="240" w:lineRule="auto"/>
              <w:rPr>
                <w:rFonts w:ascii="Cambria" w:hAnsi="Cambria" w:eastAsia="Cambria" w:cs="Cambria"/>
              </w:rPr>
            </w:pPr>
            <w:r>
              <w:rPr>
                <w:rFonts w:ascii="Cambria" w:hAnsi="Cambria" w:eastAsia="Cambria" w:cs="Cambria"/>
              </w:rPr>
              <w:t>e-mail</w:t>
            </w:r>
            <w:r>
              <w:rPr>
                <w:rFonts w:ascii="Cambria" w:hAnsi="Cambria" w:eastAsia="Cambria" w:cs="Cambria"/>
                <w:lang w:val="en-US"/>
              </w:rPr>
              <w:t xml:space="preserve"> : </w:t>
            </w:r>
            <w:r>
              <w:fldChar w:fldCharType="begin"/>
            </w:r>
            <w:r>
              <w:instrText xml:space="preserve"> HYPERLINK "http://Muhammaddzakyafif@gmail.com" </w:instrText>
            </w:r>
            <w:r>
              <w:fldChar w:fldCharType="separate"/>
            </w:r>
            <w:r>
              <w:rPr>
                <w:rStyle w:val="23"/>
                <w:rFonts w:ascii="Cambria" w:hAnsi="Cambria" w:eastAsia="Cambria" w:cs="Cambria"/>
                <w:lang w:val="en-US"/>
              </w:rPr>
              <w:t>Muhammaddzakyafif@gmail.com</w:t>
            </w:r>
            <w:r>
              <w:rPr>
                <w:rStyle w:val="23"/>
                <w:rFonts w:ascii="Cambria" w:hAnsi="Cambria" w:eastAsia="Cambria" w:cs="Cambria"/>
                <w:lang w:val="en-US"/>
              </w:rPr>
              <w:fldChar w:fldCharType="end"/>
            </w:r>
          </w:p>
          <w:p>
            <w:pPr>
              <w:spacing w:after="0" w:line="240" w:lineRule="auto"/>
              <w:rPr>
                <w:rFonts w:ascii="Cambria" w:hAnsi="Cambria" w:eastAsia="Cambria" w:cs="Cambria"/>
                <w:b/>
              </w:rPr>
            </w:pPr>
          </w:p>
        </w:tc>
      </w:tr>
      <w:tr>
        <w:tblPrEx>
          <w:tblLayout w:type="fixed"/>
        </w:tblPrEx>
        <w:tc>
          <w:tcPr>
            <w:tcW w:w="5675" w:type="dxa"/>
          </w:tcPr>
          <w:p>
            <w:pPr>
              <w:spacing w:after="0" w:line="240" w:lineRule="auto"/>
              <w:rPr>
                <w:rFonts w:ascii="Cambria" w:hAnsi="Cambria" w:eastAsia="Cambria" w:cs="Cambria"/>
                <w:b/>
              </w:rPr>
            </w:pPr>
            <w:r>
              <w:rPr>
                <w:rFonts w:ascii="Cambria" w:hAnsi="Cambria" w:eastAsia="Cambria" w:cs="Cambria"/>
                <w:b/>
              </w:rPr>
              <w:t>ABSTRAK</w:t>
            </w:r>
          </w:p>
        </w:tc>
        <w:tc>
          <w:tcPr>
            <w:tcW w:w="263" w:type="dxa"/>
          </w:tcPr>
          <w:p>
            <w:pPr>
              <w:spacing w:after="0" w:line="240" w:lineRule="auto"/>
              <w:rPr>
                <w:rFonts w:ascii="Cambria" w:hAnsi="Cambria" w:eastAsia="Cambria" w:cs="Cambria"/>
                <w:b/>
              </w:rPr>
            </w:pPr>
          </w:p>
        </w:tc>
        <w:tc>
          <w:tcPr>
            <w:tcW w:w="2612" w:type="dxa"/>
          </w:tcPr>
          <w:p>
            <w:pPr>
              <w:spacing w:after="0" w:line="240" w:lineRule="auto"/>
              <w:rPr>
                <w:rFonts w:ascii="Cambria" w:hAnsi="Cambria" w:eastAsia="Cambria" w:cs="Cambria"/>
                <w:b/>
              </w:rPr>
            </w:pPr>
            <w:r>
              <w:rPr>
                <w:rFonts w:ascii="Cambria" w:hAnsi="Cambria" w:eastAsia="Cambria" w:cs="Cambria"/>
                <w:b/>
              </w:rPr>
              <w:t>Informasi Artikel</w:t>
            </w:r>
          </w:p>
        </w:tc>
      </w:tr>
      <w:tr>
        <w:tblPrEx>
          <w:tblLayout w:type="fixed"/>
        </w:tblPrEx>
        <w:trPr>
          <w:trHeight w:val="6110" w:hRule="atLeast"/>
        </w:trPr>
        <w:tc>
          <w:tcPr>
            <w:tcW w:w="5675" w:type="dxa"/>
          </w:tcPr>
          <w:p>
            <w:pPr>
              <w:spacing w:after="0" w:line="240" w:lineRule="auto"/>
              <w:jc w:val="both"/>
              <w:rPr>
                <w:rFonts w:ascii="Cambria" w:hAnsi="Cambria"/>
                <w:sz w:val="20"/>
                <w:szCs w:val="20"/>
              </w:rPr>
            </w:pPr>
            <w:r>
              <w:rPr>
                <w:rFonts w:ascii="Cambria" w:hAnsi="Cambria"/>
                <w:sz w:val="20"/>
                <w:szCs w:val="20"/>
              </w:rPr>
              <w:t>Penyakit gagal ginjal kronik memiliki gejala dan tanda yang bermacam-macam pada pola aktivitas</w:t>
            </w:r>
            <w:r>
              <w:rPr>
                <w:rFonts w:ascii="Cambria" w:hAnsi="Cambria"/>
                <w:sz w:val="20"/>
                <w:szCs w:val="20"/>
                <w:lang w:val="en-GB"/>
              </w:rPr>
              <w:t xml:space="preserve"> </w:t>
            </w:r>
            <w:r>
              <w:rPr>
                <w:rFonts w:ascii="Cambria" w:hAnsi="Cambria"/>
                <w:sz w:val="20"/>
                <w:szCs w:val="20"/>
              </w:rPr>
              <w:t>sehari-hari, mudah lelah menjadi salah satu keluhan utama yang paling sering dirasakan oleh</w:t>
            </w:r>
            <w:r>
              <w:rPr>
                <w:rFonts w:ascii="Cambria" w:hAnsi="Cambria"/>
                <w:sz w:val="20"/>
                <w:szCs w:val="20"/>
                <w:lang w:val="en-GB"/>
              </w:rPr>
              <w:t xml:space="preserve"> </w:t>
            </w:r>
            <w:r>
              <w:rPr>
                <w:rFonts w:ascii="Cambria" w:hAnsi="Cambria"/>
                <w:sz w:val="20"/>
                <w:szCs w:val="20"/>
              </w:rPr>
              <w:t>penderita gagal ginjal kronik yang ditandai dengan keluhan yaitu : mengeluh lelah berlebih,</w:t>
            </w:r>
            <w:r>
              <w:rPr>
                <w:rFonts w:ascii="Cambria" w:hAnsi="Cambria"/>
                <w:sz w:val="20"/>
                <w:szCs w:val="20"/>
                <w:lang w:val="en-GB"/>
              </w:rPr>
              <w:t xml:space="preserve"> </w:t>
            </w:r>
            <w:r>
              <w:rPr>
                <w:rFonts w:ascii="Cambria" w:hAnsi="Cambria"/>
                <w:sz w:val="20"/>
                <w:szCs w:val="20"/>
              </w:rPr>
              <w:t>dispnea saat aktivitas , dispnea setelah aktivitas, dan frekuensi nadi yang tidak baik. Tujuan</w:t>
            </w:r>
            <w:r>
              <w:rPr>
                <w:rFonts w:ascii="Cambria" w:hAnsi="Cambria"/>
                <w:sz w:val="20"/>
                <w:szCs w:val="20"/>
                <w:lang w:val="en-GB"/>
              </w:rPr>
              <w:t xml:space="preserve"> </w:t>
            </w:r>
            <w:r>
              <w:rPr>
                <w:rFonts w:ascii="Cambria" w:hAnsi="Cambria"/>
                <w:sz w:val="20"/>
                <w:szCs w:val="20"/>
              </w:rPr>
              <w:t>penelitian ini untuk memberikan dan menganalisa asuhan keperawatan pada gagal ginjal kronik</w:t>
            </w:r>
            <w:r>
              <w:rPr>
                <w:rFonts w:ascii="Cambria" w:hAnsi="Cambria"/>
                <w:sz w:val="20"/>
                <w:szCs w:val="20"/>
                <w:lang w:val="en-GB"/>
              </w:rPr>
              <w:t xml:space="preserve"> </w:t>
            </w:r>
            <w:r>
              <w:rPr>
                <w:rFonts w:ascii="Cambria" w:hAnsi="Cambria"/>
                <w:sz w:val="20"/>
                <w:szCs w:val="20"/>
              </w:rPr>
              <w:t>dengan intoleransi aktivitas diruang Seruni RSUD Dr. Harjono Ponorogo. Penelitian ini</w:t>
            </w:r>
            <w:r>
              <w:rPr>
                <w:rFonts w:ascii="Cambria" w:hAnsi="Cambria"/>
                <w:sz w:val="20"/>
                <w:szCs w:val="20"/>
                <w:lang w:val="en-GB"/>
              </w:rPr>
              <w:t xml:space="preserve"> </w:t>
            </w:r>
            <w:r>
              <w:rPr>
                <w:rFonts w:ascii="Cambria" w:hAnsi="Cambria"/>
                <w:sz w:val="20"/>
                <w:szCs w:val="20"/>
              </w:rPr>
              <w:t>menggunakan desain deskriptif kuantitatif dengan pendekatan studi kasus. Teknik pengumpulan</w:t>
            </w:r>
            <w:r>
              <w:rPr>
                <w:rFonts w:ascii="Cambria" w:hAnsi="Cambria"/>
                <w:sz w:val="20"/>
                <w:szCs w:val="20"/>
                <w:lang w:val="en-GB"/>
              </w:rPr>
              <w:t xml:space="preserve"> </w:t>
            </w:r>
            <w:r>
              <w:rPr>
                <w:rFonts w:ascii="Cambria" w:hAnsi="Cambria"/>
                <w:sz w:val="20"/>
                <w:szCs w:val="20"/>
              </w:rPr>
              <w:t>data diperoleh dengan cara menggunakan metode wawancara, dan format asuhan keperawatan.Berdasarkan hasil pengkajian didapatkan keluhan lelah dalam melakukan aktivitas berat. Diagnose</w:t>
            </w:r>
            <w:r>
              <w:rPr>
                <w:rFonts w:ascii="Cambria" w:hAnsi="Cambria"/>
                <w:sz w:val="20"/>
                <w:szCs w:val="20"/>
                <w:lang w:val="en-GB"/>
              </w:rPr>
              <w:t xml:space="preserve"> </w:t>
            </w:r>
            <w:r>
              <w:rPr>
                <w:rFonts w:ascii="Cambria" w:hAnsi="Cambria"/>
                <w:sz w:val="20"/>
                <w:szCs w:val="20"/>
              </w:rPr>
              <w:t>yang ditetapkan yaitu Intoleransi Aktivitas. Intervensi keperawatan menggunakan pedoman SIKI</w:t>
            </w:r>
            <w:r>
              <w:rPr>
                <w:rFonts w:ascii="Cambria" w:hAnsi="Cambria"/>
                <w:sz w:val="20"/>
                <w:szCs w:val="20"/>
                <w:lang w:val="en-GB"/>
              </w:rPr>
              <w:t xml:space="preserve"> </w:t>
            </w:r>
            <w:r>
              <w:rPr>
                <w:rFonts w:ascii="Cambria" w:hAnsi="Cambria"/>
                <w:sz w:val="20"/>
                <w:szCs w:val="20"/>
              </w:rPr>
              <w:t>yaitu manajemen energy dikolaborasi dengan latihan rentang gerak ROM aktif dengan tujuan yang</w:t>
            </w:r>
            <w:r>
              <w:rPr>
                <w:rFonts w:ascii="Cambria" w:hAnsi="Cambria"/>
                <w:sz w:val="20"/>
                <w:szCs w:val="20"/>
                <w:lang w:val="en-GB"/>
              </w:rPr>
              <w:t xml:space="preserve"> </w:t>
            </w:r>
            <w:r>
              <w:rPr>
                <w:rFonts w:ascii="Cambria" w:hAnsi="Cambria"/>
                <w:sz w:val="20"/>
                <w:szCs w:val="20"/>
              </w:rPr>
              <w:t>diambil dari SLKI yaitu toleransi aktivitas meningkat. Impelementasi yang dilakukan selama 6</w:t>
            </w:r>
            <w:r>
              <w:rPr>
                <w:rFonts w:ascii="Cambria" w:hAnsi="Cambria"/>
                <w:sz w:val="20"/>
                <w:szCs w:val="20"/>
                <w:lang w:val="en-GB"/>
              </w:rPr>
              <w:t xml:space="preserve"> </w:t>
            </w:r>
            <w:r>
              <w:rPr>
                <w:rFonts w:ascii="Cambria" w:hAnsi="Cambria"/>
                <w:sz w:val="20"/>
                <w:szCs w:val="20"/>
              </w:rPr>
              <w:t>hari. Evaluasi yang diperoleh selama 6 hari didapatkan hasil terjadinya peningkatan toleransi</w:t>
            </w:r>
            <w:r>
              <w:rPr>
                <w:rFonts w:ascii="Cambria" w:hAnsi="Cambria"/>
                <w:sz w:val="20"/>
                <w:szCs w:val="20"/>
                <w:lang w:val="en-GB"/>
              </w:rPr>
              <w:t xml:space="preserve"> </w:t>
            </w:r>
            <w:r>
              <w:rPr>
                <w:rFonts w:ascii="Cambria" w:hAnsi="Cambria"/>
                <w:sz w:val="20"/>
                <w:szCs w:val="20"/>
              </w:rPr>
              <w:t>aktivitas ditandai dengan keluhan lelah menurun, dispnea saat aktivitas menurun, dispnea setelah</w:t>
            </w:r>
            <w:r>
              <w:rPr>
                <w:rFonts w:ascii="Cambria" w:hAnsi="Cambria"/>
                <w:sz w:val="20"/>
                <w:szCs w:val="20"/>
                <w:lang w:val="en-US"/>
              </w:rPr>
              <w:t xml:space="preserve"> </w:t>
            </w:r>
            <w:r>
              <w:rPr>
                <w:rFonts w:ascii="Cambria" w:hAnsi="Cambria"/>
                <w:sz w:val="20"/>
                <w:szCs w:val="20"/>
              </w:rPr>
              <w:t>aktivtias menurun, frekuensi nadi membaik, dan didapatkan skor toleransi aktivitas 27 ( baik).</w:t>
            </w:r>
            <w:r>
              <w:rPr>
                <w:rFonts w:ascii="Cambria" w:hAnsi="Cambria"/>
                <w:sz w:val="20"/>
                <w:szCs w:val="20"/>
                <w:lang w:val="en-US"/>
              </w:rPr>
              <w:t xml:space="preserve"> </w:t>
            </w:r>
            <w:r>
              <w:rPr>
                <w:rFonts w:ascii="Cambria" w:hAnsi="Cambria"/>
                <w:sz w:val="20"/>
                <w:szCs w:val="20"/>
              </w:rPr>
              <w:t>Kesimpulan pasien dengan GGK mengalami masalah intoleransi aktifitas. Penerapan manajemen</w:t>
            </w:r>
            <w:r>
              <w:rPr>
                <w:rFonts w:ascii="Cambria" w:hAnsi="Cambria"/>
                <w:sz w:val="20"/>
                <w:szCs w:val="20"/>
                <w:lang w:val="en-US"/>
              </w:rPr>
              <w:t xml:space="preserve"> </w:t>
            </w:r>
            <w:r>
              <w:rPr>
                <w:rFonts w:ascii="Cambria" w:hAnsi="Cambria"/>
                <w:sz w:val="20"/>
                <w:szCs w:val="20"/>
              </w:rPr>
              <w:t>energi dan ROM berpengaruh meningkatkan toleransi aktifitas.</w:t>
            </w:r>
            <w:r>
              <w:rPr>
                <w:rFonts w:ascii="Cambria" w:hAnsi="Cambria" w:eastAsia="Cambria" w:cs="Cambria"/>
                <w:sz w:val="20"/>
                <w:szCs w:val="20"/>
              </w:rPr>
              <w:t>k meningkatkan efektivitas latihan.</w:t>
            </w:r>
          </w:p>
        </w:tc>
        <w:tc>
          <w:tcPr>
            <w:tcW w:w="263" w:type="dxa"/>
          </w:tcPr>
          <w:p>
            <w:pPr>
              <w:spacing w:after="0" w:line="240" w:lineRule="auto"/>
              <w:rPr>
                <w:rFonts w:ascii="Cambria" w:hAnsi="Cambria" w:eastAsia="Cambria" w:cs="Cambria"/>
                <w:b/>
                <w:sz w:val="20"/>
                <w:szCs w:val="20"/>
              </w:rPr>
            </w:pPr>
          </w:p>
        </w:tc>
        <w:tc>
          <w:tcPr>
            <w:tcW w:w="2612" w:type="dxa"/>
          </w:tcPr>
          <w:p>
            <w:pPr>
              <w:spacing w:after="0" w:line="240" w:lineRule="auto"/>
              <w:jc w:val="both"/>
              <w:rPr>
                <w:rFonts w:ascii="Cambria" w:hAnsi="Cambria" w:cs="Times New Roman"/>
                <w:sz w:val="20"/>
                <w:szCs w:val="20"/>
                <w:lang w:val="en-GB"/>
              </w:rPr>
            </w:pPr>
            <w:r>
              <w:rPr>
                <w:rFonts w:ascii="Cambria" w:hAnsi="Cambria" w:cs="Times New Roman"/>
                <w:b/>
                <w:sz w:val="20"/>
                <w:szCs w:val="20"/>
                <w:lang w:val="en-GB"/>
              </w:rPr>
              <w:t>Kata Kunci</w:t>
            </w:r>
            <w:r>
              <w:rPr>
                <w:rFonts w:ascii="Cambria" w:hAnsi="Cambria" w:cs="Times New Roman"/>
                <w:sz w:val="20"/>
                <w:szCs w:val="20"/>
                <w:lang w:val="en-GB"/>
              </w:rPr>
              <w:t xml:space="preserve"> : Ginjal ,  Aktivitas,  Energi, ROM </w:t>
            </w:r>
          </w:p>
          <w:p>
            <w:pPr>
              <w:spacing w:after="0" w:line="240" w:lineRule="auto"/>
              <w:rPr>
                <w:rFonts w:ascii="Cambria" w:hAnsi="Cambria" w:eastAsia="Cambria" w:cs="Cambria"/>
                <w:b/>
                <w:sz w:val="20"/>
                <w:szCs w:val="20"/>
              </w:rPr>
            </w:pPr>
          </w:p>
        </w:tc>
      </w:tr>
      <w:tr>
        <w:tblPrEx>
          <w:tblLayout w:type="fixed"/>
        </w:tblPrEx>
        <w:tc>
          <w:tcPr>
            <w:tcW w:w="8550" w:type="dxa"/>
            <w:gridSpan w:val="3"/>
          </w:tcPr>
          <w:p>
            <w:pPr>
              <w:spacing w:after="0" w:line="240" w:lineRule="auto"/>
              <w:rPr>
                <w:rFonts w:ascii="Cambria" w:hAnsi="Cambria" w:eastAsia="Cambria" w:cs="Cambria"/>
                <w:b/>
              </w:rPr>
            </w:pPr>
            <w:r>
              <w:rPr>
                <w:rFonts w:ascii="Cambria" w:hAnsi="Cambria" w:eastAsia="Cambria" w:cs="Cambria"/>
                <w:b/>
                <w:lang w:val="en-US"/>
              </w:rPr>
              <w:t>Nursing Care In CKD Patients With Acrivity Intolerance Nursing Problems In The Room Seruni RSUD Dr. Harjono Ponorogo</w:t>
            </w:r>
          </w:p>
        </w:tc>
      </w:tr>
      <w:tr>
        <w:tblPrEx>
          <w:tblLayout w:type="fixed"/>
        </w:tblPrEx>
        <w:tc>
          <w:tcPr>
            <w:tcW w:w="5675" w:type="dxa"/>
          </w:tcPr>
          <w:p>
            <w:pPr>
              <w:spacing w:after="0" w:line="240" w:lineRule="auto"/>
              <w:rPr>
                <w:rFonts w:ascii="Cambria" w:hAnsi="Cambria" w:eastAsia="Cambria" w:cs="Cambria"/>
                <w:b/>
                <w:i/>
                <w:sz w:val="20"/>
                <w:szCs w:val="20"/>
              </w:rPr>
            </w:pPr>
            <w:r>
              <w:rPr>
                <w:rFonts w:ascii="Cambria" w:hAnsi="Cambria" w:eastAsia="Cambria" w:cs="Cambria"/>
                <w:b/>
                <w:i/>
                <w:sz w:val="20"/>
                <w:szCs w:val="20"/>
              </w:rPr>
              <w:t>ABSTRACT</w:t>
            </w:r>
          </w:p>
          <w:p>
            <w:pPr>
              <w:spacing w:after="0" w:line="240" w:lineRule="auto"/>
              <w:rPr>
                <w:rFonts w:ascii="Cambria" w:hAnsi="Cambria" w:eastAsia="Cambria" w:cs="Cambria"/>
                <w:b/>
                <w:sz w:val="20"/>
                <w:szCs w:val="20"/>
              </w:rPr>
            </w:pPr>
          </w:p>
        </w:tc>
        <w:tc>
          <w:tcPr>
            <w:tcW w:w="263" w:type="dxa"/>
          </w:tcPr>
          <w:p>
            <w:pPr>
              <w:spacing w:after="0" w:line="240" w:lineRule="auto"/>
              <w:rPr>
                <w:rFonts w:ascii="Cambria" w:hAnsi="Cambria" w:eastAsia="Cambria" w:cs="Cambria"/>
                <w:b/>
                <w:sz w:val="20"/>
                <w:szCs w:val="20"/>
              </w:rPr>
            </w:pPr>
          </w:p>
        </w:tc>
        <w:tc>
          <w:tcPr>
            <w:tcW w:w="2612" w:type="dxa"/>
          </w:tcPr>
          <w:p>
            <w:pPr>
              <w:spacing w:after="0" w:line="240" w:lineRule="auto"/>
              <w:rPr>
                <w:rFonts w:ascii="Cambria" w:hAnsi="Cambria" w:eastAsia="Cambria" w:cs="Cambria"/>
                <w:b/>
                <w:sz w:val="20"/>
                <w:szCs w:val="20"/>
              </w:rPr>
            </w:pPr>
          </w:p>
        </w:tc>
      </w:tr>
      <w:tr>
        <w:tblPrEx>
          <w:tblLayout w:type="fixed"/>
        </w:tblPrEx>
        <w:tc>
          <w:tcPr>
            <w:tcW w:w="5675" w:type="dxa"/>
          </w:tcPr>
          <w:p>
            <w:pPr>
              <w:pStyle w:val="11"/>
              <w:rPr>
                <w:rFonts w:ascii="Cambria" w:hAnsi="Cambria"/>
              </w:rPr>
            </w:pPr>
            <w:r>
              <w:rPr>
                <w:rFonts w:ascii="Cambria" w:hAnsi="Cambria"/>
              </w:rPr>
              <w:t>Chronic kidney failure has various symptoms and signs in daily activity patterns, fatigue is one of the main complaints most often felt by chronic kidney failure sufferers which is characterized by complaints, namely: complaining of excessive fatigue, dyspnea during activity, dyspnea after activity, and frequency of bad pulse. The aim of this research to provide and analyze nursing care in chronic kidney failure with activity intolerance in the room Seruni RSUD Dr. Harjono Ponorogo. This study used a quantitative descriptive design with a case study approach. Data collection techniques were obtained by using interview methods, and nursing care formats. Based on the results of the study, complaints of fatigue in carrying out strenuous activities were obtained. The diagnosis determined Activity Intolerance. Nursing interventions use SIKI guidelines, namely energy management is collaborated with active ROM range of motion exercises with the aim taken from SLKI, namely increased activity tolerance. Implementation carried out for 6 days. The evaluation obtained for 6 days was found to result in an increase in activity tolerance, characterized by complaints of decreased fatigue, dyspnea when activity decreased, dyspnea after activity decreased, improved pulse frequency, and an activity tolerance score of 27 (good) was obtained. Conclusion Patients with CKD experience activity intolerance problems. The implementation of energy management and ROM has the effect of increasing activity tolerance.</w:t>
            </w:r>
          </w:p>
          <w:p>
            <w:pPr>
              <w:spacing w:after="0" w:line="240" w:lineRule="auto"/>
              <w:rPr>
                <w:rFonts w:ascii="Cambria" w:hAnsi="Cambria" w:eastAsia="Cambria" w:cs="Cambria"/>
                <w:b/>
                <w:sz w:val="20"/>
                <w:szCs w:val="20"/>
              </w:rPr>
            </w:pPr>
          </w:p>
        </w:tc>
        <w:tc>
          <w:tcPr>
            <w:tcW w:w="263" w:type="dxa"/>
          </w:tcPr>
          <w:p>
            <w:pPr>
              <w:spacing w:after="0" w:line="240" w:lineRule="auto"/>
              <w:rPr>
                <w:rFonts w:ascii="Cambria" w:hAnsi="Cambria" w:eastAsia="Cambria" w:cs="Cambria"/>
                <w:b/>
                <w:sz w:val="20"/>
                <w:szCs w:val="20"/>
              </w:rPr>
            </w:pPr>
          </w:p>
        </w:tc>
        <w:tc>
          <w:tcPr>
            <w:tcW w:w="2612" w:type="dxa"/>
          </w:tcPr>
          <w:p>
            <w:pPr>
              <w:keepNext/>
              <w:spacing w:after="0" w:line="240" w:lineRule="auto"/>
              <w:contextualSpacing/>
              <w:jc w:val="both"/>
              <w:outlineLvl w:val="3"/>
              <w:rPr>
                <w:rFonts w:ascii="Cambria" w:hAnsi="Cambria" w:eastAsia="DengXian" w:cs="Times New Roman"/>
                <w:i/>
                <w:sz w:val="20"/>
                <w:szCs w:val="20"/>
                <w:lang w:val="id-ID"/>
              </w:rPr>
            </w:pPr>
            <w:r>
              <w:rPr>
                <w:rFonts w:ascii="Cambria" w:hAnsi="Cambria" w:cs="Times New Roman"/>
                <w:b/>
                <w:i/>
                <w:sz w:val="20"/>
                <w:szCs w:val="20"/>
                <w:lang w:val="en-GB"/>
              </w:rPr>
              <w:t>Keyword:</w:t>
            </w:r>
            <w:r>
              <w:rPr>
                <w:rFonts w:ascii="Cambria" w:hAnsi="Cambria" w:cs="Times New Roman"/>
                <w:i/>
                <w:sz w:val="20"/>
                <w:szCs w:val="20"/>
                <w:lang w:val="en-GB"/>
              </w:rPr>
              <w:t xml:space="preserve"> kidney, activity, energy, ROM</w:t>
            </w:r>
          </w:p>
          <w:p>
            <w:pPr>
              <w:spacing w:after="0" w:line="240" w:lineRule="auto"/>
              <w:rPr>
                <w:rFonts w:ascii="Cambria" w:hAnsi="Cambria" w:eastAsia="Cambria" w:cs="Cambria"/>
                <w:b/>
                <w:sz w:val="20"/>
                <w:szCs w:val="20"/>
              </w:rPr>
            </w:pPr>
          </w:p>
        </w:tc>
      </w:tr>
    </w:tbl>
    <w:p>
      <w:pPr>
        <w:jc w:val="both"/>
        <w:rPr>
          <w:rFonts w:ascii="Times New Roman" w:hAnsi="Times New Roman" w:eastAsia="Times New Roman" w:cs="Times New Roman"/>
          <w:b/>
        </w:rPr>
      </w:pPr>
    </w:p>
    <w:p>
      <w:pPr>
        <w:spacing w:line="240" w:lineRule="auto"/>
        <w:jc w:val="both"/>
        <w:rPr>
          <w:rFonts w:ascii="Cambria" w:hAnsi="Cambria" w:eastAsia="Cambria" w:cs="Cambria"/>
          <w:b/>
          <w:sz w:val="22"/>
          <w:szCs w:val="22"/>
        </w:rPr>
      </w:pPr>
      <w:r>
        <w:rPr>
          <w:rFonts w:ascii="Cambria" w:hAnsi="Cambria" w:eastAsia="Cambria" w:cs="Cambria"/>
          <w:b/>
          <w:sz w:val="22"/>
          <w:szCs w:val="22"/>
        </w:rPr>
        <w:t>PENDAHULUAN</w:t>
      </w:r>
    </w:p>
    <w:p>
      <w:pPr>
        <w:spacing w:line="240" w:lineRule="auto"/>
        <w:ind w:firstLine="685"/>
        <w:contextualSpacing/>
        <w:jc w:val="both"/>
        <w:rPr>
          <w:rFonts w:ascii="Cambria" w:hAnsi="Cambria" w:eastAsia="SimSun" w:cs="Times New Roman"/>
          <w:color w:val="000000"/>
          <w:sz w:val="22"/>
          <w:szCs w:val="22"/>
        </w:rPr>
      </w:pPr>
      <w:r>
        <w:rPr>
          <w:rFonts w:ascii="Cambria" w:hAnsi="Cambria" w:eastAsia="DengXian" w:cs="Times New Roman"/>
          <w:color w:val="000000"/>
          <w:sz w:val="22"/>
          <w:szCs w:val="22"/>
          <w:lang w:val="id-ID"/>
        </w:rPr>
        <w:t xml:space="preserve">Gagal ginjal kronis atau yang sering disebut </w:t>
      </w:r>
      <w:r>
        <w:rPr>
          <w:rFonts w:ascii="Cambria" w:hAnsi="Cambria" w:eastAsia="DengXian" w:cs="Times New Roman"/>
          <w:color w:val="000000"/>
          <w:sz w:val="22"/>
          <w:szCs w:val="22"/>
          <w:lang w:val="zh-CN"/>
        </w:rPr>
        <w:t>Chronic Kidney Disease (CKD)</w:t>
      </w:r>
      <w:r>
        <w:rPr>
          <w:rFonts w:ascii="Cambria" w:hAnsi="Cambria" w:eastAsia="DengXian" w:cs="Times New Roman"/>
          <w:color w:val="000000"/>
          <w:sz w:val="22"/>
          <w:szCs w:val="22"/>
          <w:lang w:val="id-ID"/>
        </w:rPr>
        <w:t xml:space="preserve"> merupakan penyakit yang menjadi penyebab utama kematian dengan urutan ke 12 di dunia (</w:t>
      </w:r>
      <w:r>
        <w:rPr>
          <w:rFonts w:ascii="Cambria" w:hAnsi="Cambria"/>
          <w:sz w:val="22"/>
          <w:szCs w:val="22"/>
        </w:rPr>
        <w:fldChar w:fldCharType="begin"/>
      </w:r>
      <w:r>
        <w:rPr>
          <w:rFonts w:ascii="Cambria" w:hAnsi="Cambria"/>
          <w:sz w:val="22"/>
          <w:szCs w:val="22"/>
        </w:rPr>
        <w:instrText xml:space="preserve"> HYPERLINK \l "WHO21" </w:instrText>
      </w:r>
      <w:r>
        <w:rPr>
          <w:rFonts w:ascii="Cambria" w:hAnsi="Cambria"/>
          <w:sz w:val="22"/>
          <w:szCs w:val="22"/>
        </w:rPr>
        <w:fldChar w:fldCharType="separate"/>
      </w:r>
      <w:r>
        <w:rPr>
          <w:rFonts w:ascii="Cambria" w:hAnsi="Cambria" w:eastAsia="DengXian" w:cs="Times New Roman"/>
          <w:color w:val="000000"/>
          <w:sz w:val="22"/>
          <w:szCs w:val="22"/>
          <w:lang w:val="id-ID"/>
        </w:rPr>
        <w:t>WHO, 2019</w:t>
      </w:r>
      <w:r>
        <w:rPr>
          <w:rFonts w:ascii="Cambria" w:hAnsi="Cambria" w:eastAsia="DengXian" w:cs="Times New Roman"/>
          <w:color w:val="000000"/>
          <w:sz w:val="22"/>
          <w:szCs w:val="22"/>
          <w:lang w:val="id-ID"/>
        </w:rPr>
        <w:fldChar w:fldCharType="end"/>
      </w:r>
      <w:r>
        <w:rPr>
          <w:rFonts w:ascii="Cambria" w:hAnsi="Cambria" w:eastAsia="DengXian" w:cs="Times New Roman"/>
          <w:color w:val="000000"/>
          <w:sz w:val="22"/>
          <w:szCs w:val="22"/>
          <w:lang w:val="id-ID"/>
        </w:rPr>
        <w:t>). Penyakit ini merupakan penyakit dengan gangguang fungsi ginjal yang bersifat progresif dan tidak dapat dipulihkan. (</w:t>
      </w:r>
      <w:r>
        <w:rPr>
          <w:rFonts w:ascii="Cambria" w:hAnsi="Cambria"/>
          <w:sz w:val="22"/>
          <w:szCs w:val="22"/>
        </w:rPr>
        <w:fldChar w:fldCharType="begin"/>
      </w:r>
      <w:r>
        <w:rPr>
          <w:rFonts w:ascii="Cambria" w:hAnsi="Cambria"/>
          <w:sz w:val="22"/>
          <w:szCs w:val="22"/>
        </w:rPr>
        <w:instrText xml:space="preserve"> HYPERLINK \l "Dila" </w:instrText>
      </w:r>
      <w:r>
        <w:rPr>
          <w:rFonts w:ascii="Cambria" w:hAnsi="Cambria"/>
          <w:sz w:val="22"/>
          <w:szCs w:val="22"/>
        </w:rPr>
        <w:fldChar w:fldCharType="separate"/>
      </w:r>
      <w:r>
        <w:rPr>
          <w:rFonts w:ascii="Cambria" w:hAnsi="Cambria" w:eastAsia="DengXian" w:cs="Times New Roman"/>
          <w:color w:val="000000"/>
          <w:sz w:val="22"/>
          <w:szCs w:val="22"/>
          <w:lang w:val="id-ID"/>
        </w:rPr>
        <w:t>Dila dan Panma, 2019</w:t>
      </w:r>
      <w:r>
        <w:rPr>
          <w:rFonts w:ascii="Cambria" w:hAnsi="Cambria" w:eastAsia="DengXian" w:cs="Times New Roman"/>
          <w:color w:val="000000"/>
          <w:sz w:val="22"/>
          <w:szCs w:val="22"/>
          <w:lang w:val="id-ID"/>
        </w:rPr>
        <w:fldChar w:fldCharType="end"/>
      </w:r>
      <w:r>
        <w:rPr>
          <w:rFonts w:ascii="Cambria" w:hAnsi="Cambria" w:eastAsia="DengXian" w:cs="Times New Roman"/>
          <w:color w:val="000000"/>
          <w:sz w:val="22"/>
          <w:szCs w:val="22"/>
          <w:lang w:val="id-ID"/>
        </w:rPr>
        <w:t>). Pada pasien dengan CKD akan mengalami gangguan keseimbang cairan</w:t>
      </w:r>
      <w:r>
        <w:rPr>
          <w:rFonts w:ascii="Cambria" w:hAnsi="Cambria" w:eastAsia="DengXian" w:cs="Times New Roman"/>
          <w:color w:val="000000"/>
          <w:sz w:val="22"/>
          <w:szCs w:val="22"/>
        </w:rPr>
        <w:t xml:space="preserve"> dan</w:t>
      </w:r>
      <w:r>
        <w:rPr>
          <w:rFonts w:ascii="Cambria" w:hAnsi="Cambria" w:eastAsia="DengXian" w:cs="Times New Roman"/>
          <w:color w:val="000000"/>
          <w:sz w:val="22"/>
          <w:szCs w:val="22"/>
          <w:lang w:val="id-ID"/>
        </w:rPr>
        <w:t xml:space="preserve"> sehingga pasien akan mengalami masalah hipervolemia. (</w:t>
      </w:r>
      <w:r>
        <w:rPr>
          <w:rFonts w:ascii="Cambria" w:hAnsi="Cambria"/>
          <w:sz w:val="22"/>
          <w:szCs w:val="22"/>
        </w:rPr>
        <w:fldChar w:fldCharType="begin"/>
      </w:r>
      <w:r>
        <w:rPr>
          <w:rFonts w:ascii="Cambria" w:hAnsi="Cambria"/>
          <w:sz w:val="22"/>
          <w:szCs w:val="22"/>
        </w:rPr>
        <w:instrText xml:space="preserve"> HYPERLINK \l "Fitri" </w:instrText>
      </w:r>
      <w:r>
        <w:rPr>
          <w:rFonts w:ascii="Cambria" w:hAnsi="Cambria"/>
          <w:sz w:val="22"/>
          <w:szCs w:val="22"/>
        </w:rPr>
        <w:fldChar w:fldCharType="separate"/>
      </w:r>
      <w:r>
        <w:rPr>
          <w:rFonts w:ascii="Cambria" w:hAnsi="Cambria" w:eastAsia="DengXian" w:cs="Times New Roman"/>
          <w:color w:val="000000"/>
          <w:sz w:val="22"/>
          <w:szCs w:val="22"/>
          <w:lang w:val="id-ID"/>
        </w:rPr>
        <w:t>Fitri, 2022</w:t>
      </w:r>
      <w:r>
        <w:rPr>
          <w:rFonts w:ascii="Cambria" w:hAnsi="Cambria" w:eastAsia="DengXian" w:cs="Times New Roman"/>
          <w:color w:val="000000"/>
          <w:sz w:val="22"/>
          <w:szCs w:val="22"/>
          <w:lang w:val="id-ID"/>
        </w:rPr>
        <w:fldChar w:fldCharType="end"/>
      </w:r>
      <w:r>
        <w:rPr>
          <w:rFonts w:ascii="Cambria" w:hAnsi="Cambria" w:eastAsia="DengXian" w:cs="Times New Roman"/>
          <w:color w:val="000000"/>
          <w:sz w:val="22"/>
          <w:szCs w:val="22"/>
          <w:lang w:val="id-ID"/>
        </w:rPr>
        <w:t>). Kondisi Hipervolemia adalah peningkatan volume cairan intravascular, interstisial, dan intraseluler(</w:t>
      </w:r>
      <w:r>
        <w:rPr>
          <w:rFonts w:ascii="Cambria" w:hAnsi="Cambria"/>
          <w:sz w:val="22"/>
          <w:szCs w:val="22"/>
        </w:rPr>
        <w:fldChar w:fldCharType="begin"/>
      </w:r>
      <w:r>
        <w:rPr>
          <w:rFonts w:ascii="Cambria" w:hAnsi="Cambria"/>
          <w:sz w:val="22"/>
          <w:szCs w:val="22"/>
        </w:rPr>
        <w:instrText xml:space="preserve"> HYPERLINK \l "PPNI17a" </w:instrText>
      </w:r>
      <w:r>
        <w:rPr>
          <w:rFonts w:ascii="Cambria" w:hAnsi="Cambria"/>
          <w:sz w:val="22"/>
          <w:szCs w:val="22"/>
        </w:rPr>
        <w:fldChar w:fldCharType="separate"/>
      </w:r>
      <w:r>
        <w:rPr>
          <w:rFonts w:ascii="Cambria" w:hAnsi="Cambria" w:eastAsia="DengXian" w:cs="Times New Roman"/>
          <w:color w:val="000000"/>
          <w:sz w:val="22"/>
          <w:szCs w:val="22"/>
          <w:lang w:val="id-ID"/>
        </w:rPr>
        <w:t>PPNI 2017</w:t>
      </w:r>
      <w:r>
        <w:rPr>
          <w:rFonts w:ascii="Cambria" w:hAnsi="Cambria" w:eastAsia="DengXian" w:cs="Times New Roman"/>
          <w:color w:val="000000"/>
          <w:sz w:val="22"/>
          <w:szCs w:val="22"/>
          <w:lang w:val="id-ID"/>
        </w:rPr>
        <w:fldChar w:fldCharType="end"/>
      </w:r>
      <w:r>
        <w:rPr>
          <w:rFonts w:ascii="Cambria" w:hAnsi="Cambria" w:eastAsia="DengXian" w:cs="Times New Roman"/>
          <w:color w:val="000000"/>
          <w:sz w:val="22"/>
          <w:szCs w:val="22"/>
          <w:lang w:val="id-ID"/>
        </w:rPr>
        <w:t xml:space="preserve">). Peningkatan cairan dan elektrolit dapat menyebabkan gangguan pada jantung. Karena banyak cairan yang menumpuk dalam tubuh, membuat jantung harus bekerja lebih keras dan pada akhirnya akan terjadi gangguan irama jantung. Sehingga pada pasien CKD akan mengalami Intoleransi aktivitas dikarenakan oleh gangguan irama jantung. (wildan, 2020). Selain itu, pasien CKD juga mengalami anemia yang mengakibatkan terjadinya intoleransi aktivitas dikarenakan kurangnya asupan oksigen yang dibawa oleh darah. </w:t>
      </w:r>
      <w:r>
        <w:rPr>
          <w:rFonts w:ascii="Cambria" w:hAnsi="Cambria" w:eastAsia="DengXian" w:cs="Times New Roman"/>
          <w:color w:val="000000"/>
          <w:sz w:val="22"/>
          <w:szCs w:val="22"/>
        </w:rPr>
        <w:t>(Aulia Annisa ddk,2018)</w:t>
      </w:r>
    </w:p>
    <w:p>
      <w:pPr>
        <w:spacing w:line="240" w:lineRule="auto"/>
        <w:ind w:firstLine="685"/>
        <w:contextualSpacing/>
        <w:jc w:val="both"/>
        <w:rPr>
          <w:rFonts w:ascii="Cambria" w:hAnsi="Cambria" w:eastAsia="DengXian" w:cs="Times New Roman"/>
          <w:color w:val="000000"/>
          <w:sz w:val="22"/>
          <w:szCs w:val="22"/>
        </w:rPr>
      </w:pPr>
      <w:bookmarkStart w:id="0" w:name="_Hlk193354953"/>
      <w:r>
        <w:rPr>
          <w:rFonts w:ascii="Cambria" w:hAnsi="Cambria" w:eastAsia="DengXian" w:cs="Times New Roman"/>
          <w:color w:val="000000"/>
          <w:sz w:val="22"/>
          <w:szCs w:val="22"/>
          <w:lang w:val="zh-CN"/>
        </w:rPr>
        <w:t>Berdasarkan  data  dari  World  Health  Organization  (WHO) dalam penelitian Aditama et Al (2023) pada  tahun  2019  pasien  gagal ginjal  kronis  di  dunia  berjumlah  15%  dari  populasi  dan  telah  menyebabkan  1,2  juta  kasus kematian. Data pada tahun 2020, jumlah kasus kematian akibat gagal ginjal kronis sebanyak 254.028  kasus.  Serta  data  pada  tahun  2021  sebanyak  lebih  843,6  juta,  dan  diperkirakan jumlah kematian akibat gagal ginal kronis akan meningkat mencapai 41,5% pada tahun 2040.</w:t>
      </w:r>
    </w:p>
    <w:bookmarkEnd w:id="0"/>
    <w:p>
      <w:pPr>
        <w:spacing w:line="240" w:lineRule="auto"/>
        <w:ind w:firstLine="685"/>
        <w:contextualSpacing/>
        <w:jc w:val="both"/>
        <w:rPr>
          <w:rFonts w:ascii="Cambria" w:hAnsi="Cambria" w:eastAsia="DengXian" w:cs="Times New Roman"/>
          <w:color w:val="000000"/>
          <w:sz w:val="22"/>
          <w:szCs w:val="22"/>
          <w:lang w:val="id-ID"/>
        </w:rPr>
      </w:pPr>
      <w:r>
        <w:rPr>
          <w:rFonts w:ascii="Cambria" w:hAnsi="Cambria" w:eastAsia="DengXian" w:cs="Times New Roman"/>
          <w:color w:val="000000"/>
          <w:sz w:val="22"/>
          <w:szCs w:val="22"/>
          <w:lang w:val="zh-CN"/>
        </w:rPr>
        <w:t>Angka kejadian gagal ginjal kronis di Indonesia berdasarkan data dari Riskesdas, (2018) yaitu sebesar 0,38 % dari jumlah penduduk Indonesia sebesar 252.124.458 jiwa maka terdapat 713.783 jiwa yang menderita gagal. Adapun prevelensi dijawa timur terdapat 0,3% atau 32.542 ribu jiwa yang terjangkit gagal ginjal kronis. (</w:t>
      </w:r>
      <w:r>
        <w:rPr>
          <w:rFonts w:ascii="Cambria" w:hAnsi="Cambria"/>
          <w:sz w:val="22"/>
          <w:szCs w:val="22"/>
        </w:rPr>
        <w:fldChar w:fldCharType="begin"/>
      </w:r>
      <w:r>
        <w:rPr>
          <w:rFonts w:ascii="Cambria" w:hAnsi="Cambria"/>
          <w:sz w:val="22"/>
          <w:szCs w:val="22"/>
        </w:rPr>
        <w:instrText xml:space="preserve"> HYPERLINK \l "Riskesdas" </w:instrText>
      </w:r>
      <w:r>
        <w:rPr>
          <w:rFonts w:ascii="Cambria" w:hAnsi="Cambria"/>
          <w:sz w:val="22"/>
          <w:szCs w:val="22"/>
        </w:rPr>
        <w:fldChar w:fldCharType="separate"/>
      </w:r>
      <w:r>
        <w:rPr>
          <w:rFonts w:ascii="Cambria" w:hAnsi="Cambria" w:eastAsia="DengXian" w:cs="Times New Roman"/>
          <w:color w:val="000000"/>
          <w:sz w:val="22"/>
          <w:szCs w:val="22"/>
          <w:lang w:val="zh-CN"/>
        </w:rPr>
        <w:t>Riskesdas, 2018</w:t>
      </w:r>
      <w:r>
        <w:rPr>
          <w:rFonts w:ascii="Cambria" w:hAnsi="Cambria" w:eastAsia="DengXian" w:cs="Times New Roman"/>
          <w:color w:val="000000"/>
          <w:sz w:val="22"/>
          <w:szCs w:val="22"/>
          <w:lang w:val="zh-CN"/>
        </w:rPr>
        <w:fldChar w:fldCharType="end"/>
      </w:r>
      <w:r>
        <w:rPr>
          <w:rFonts w:ascii="Cambria" w:hAnsi="Cambria" w:eastAsia="DengXian" w:cs="Times New Roman"/>
          <w:color w:val="000000"/>
          <w:sz w:val="22"/>
          <w:szCs w:val="22"/>
          <w:lang w:val="zh-CN"/>
        </w:rPr>
        <w:t>)</w:t>
      </w:r>
      <w:r>
        <w:rPr>
          <w:rFonts w:ascii="Cambria" w:hAnsi="Cambria" w:eastAsia="DengXian" w:cs="Times New Roman"/>
          <w:color w:val="000000"/>
          <w:sz w:val="22"/>
          <w:szCs w:val="22"/>
          <w:lang w:val="id-ID"/>
        </w:rPr>
        <w:t xml:space="preserve">. </w:t>
      </w:r>
      <w:bookmarkStart w:id="1" w:name="_Hlk193354791"/>
    </w:p>
    <w:p>
      <w:pPr>
        <w:spacing w:line="240" w:lineRule="auto"/>
        <w:ind w:firstLine="685"/>
        <w:contextualSpacing/>
        <w:jc w:val="both"/>
        <w:rPr>
          <w:rFonts w:ascii="Cambria" w:hAnsi="Cambria" w:eastAsia="DengXian" w:cs="Times New Roman"/>
          <w:color w:val="000000"/>
          <w:sz w:val="22"/>
          <w:szCs w:val="22"/>
          <w:lang w:val="id-ID"/>
        </w:rPr>
      </w:pPr>
      <w:r>
        <w:rPr>
          <w:rFonts w:ascii="Cambria" w:hAnsi="Cambria" w:eastAsia="DengXian" w:cs="Times New Roman"/>
          <w:color w:val="000000"/>
          <w:sz w:val="22"/>
          <w:szCs w:val="22"/>
          <w:lang w:val="id-ID"/>
        </w:rPr>
        <w:t>Data  pasien GGK di RSUD Dr Harjono Ponorogo pada bulan April 2024 146 pasien dan pada bulan Mei 2024 tercatat sejumlah 234 pasien. Pada pertengahan bulan Mei 2024 terdata 12 pasien baru yang dimana akan mengikuti program hemodialisis (</w:t>
      </w:r>
      <w:r>
        <w:rPr>
          <w:rFonts w:ascii="Cambria" w:hAnsi="Cambria" w:eastAsia="DengXian" w:cs="Times New Roman"/>
          <w:color w:val="000000"/>
          <w:sz w:val="22"/>
          <w:szCs w:val="22"/>
        </w:rPr>
        <w:t>R</w:t>
      </w:r>
      <w:r>
        <w:rPr>
          <w:rFonts w:ascii="Cambria" w:hAnsi="Cambria" w:eastAsia="DengXian" w:cs="Times New Roman"/>
          <w:color w:val="000000"/>
          <w:sz w:val="22"/>
          <w:szCs w:val="22"/>
          <w:lang w:val="id-ID"/>
        </w:rPr>
        <w:t xml:space="preserve">ekam </w:t>
      </w:r>
      <w:r>
        <w:rPr>
          <w:rFonts w:ascii="Cambria" w:hAnsi="Cambria" w:eastAsia="DengXian" w:cs="Times New Roman"/>
          <w:color w:val="000000"/>
          <w:sz w:val="22"/>
          <w:szCs w:val="22"/>
        </w:rPr>
        <w:t>M</w:t>
      </w:r>
      <w:r>
        <w:rPr>
          <w:rFonts w:ascii="Cambria" w:hAnsi="Cambria" w:eastAsia="DengXian" w:cs="Times New Roman"/>
          <w:color w:val="000000"/>
          <w:sz w:val="22"/>
          <w:szCs w:val="22"/>
          <w:lang w:val="id-ID"/>
        </w:rPr>
        <w:t>edis RSUD Harjono Ponorogo, 2024).</w:t>
      </w:r>
      <w:r>
        <w:rPr>
          <w:rFonts w:ascii="Cambria" w:hAnsi="Cambria" w:eastAsia="DengXian" w:cs="Times New Roman"/>
          <w:color w:val="000000"/>
          <w:sz w:val="22"/>
          <w:szCs w:val="22"/>
          <w:lang w:val="zh-CN"/>
        </w:rPr>
        <w:t xml:space="preserve"> </w:t>
      </w:r>
      <w:r>
        <w:rPr>
          <w:rFonts w:ascii="Cambria" w:hAnsi="Cambria" w:eastAsia="DengXian" w:cs="Times New Roman"/>
          <w:color w:val="000000"/>
          <w:sz w:val="22"/>
          <w:szCs w:val="22"/>
        </w:rPr>
        <w:t xml:space="preserve"> </w:t>
      </w:r>
      <w:r>
        <w:rPr>
          <w:rFonts w:ascii="Cambria" w:hAnsi="Cambria" w:eastAsia="DengXian" w:cs="Times New Roman"/>
          <w:color w:val="000000"/>
          <w:sz w:val="22"/>
          <w:szCs w:val="22"/>
          <w:lang w:val="zh-CN"/>
        </w:rPr>
        <w:t>Data pasien CKD di RSUD Harjono Ponorogo, mencatat bahwa 30 % dari pasien CKD dirumah sakit ini mengalami masalah intoleransi aktivitas, yang berda</w:t>
      </w:r>
      <w:r>
        <w:rPr>
          <w:rFonts w:ascii="Cambria" w:hAnsi="Cambria" w:eastAsia="DengXian" w:cs="Times New Roman"/>
          <w:color w:val="000000"/>
          <w:sz w:val="22"/>
          <w:szCs w:val="22"/>
        </w:rPr>
        <w:t>m</w:t>
      </w:r>
      <w:r>
        <w:rPr>
          <w:rFonts w:ascii="Cambria" w:hAnsi="Cambria" w:eastAsia="DengXian" w:cs="Times New Roman"/>
          <w:color w:val="000000"/>
          <w:sz w:val="22"/>
          <w:szCs w:val="22"/>
          <w:lang w:val="zh-CN"/>
        </w:rPr>
        <w:t xml:space="preserve">pak pada proses pemulihan dan lama perawatan mereka.  </w:t>
      </w:r>
    </w:p>
    <w:p>
      <w:pPr>
        <w:spacing w:line="240" w:lineRule="auto"/>
        <w:ind w:firstLine="685"/>
        <w:contextualSpacing/>
        <w:jc w:val="both"/>
        <w:rPr>
          <w:rFonts w:ascii="Cambria" w:hAnsi="Cambria" w:eastAsia="DengXian" w:cs="Times New Roman"/>
          <w:color w:val="000000"/>
          <w:sz w:val="22"/>
          <w:szCs w:val="22"/>
          <w:lang w:val="id-ID"/>
        </w:rPr>
      </w:pPr>
      <w:r>
        <w:rPr>
          <w:rFonts w:ascii="Cambria" w:hAnsi="Cambria" w:eastAsia="DengXian" w:cs="Times New Roman"/>
          <w:color w:val="000000"/>
          <w:sz w:val="22"/>
          <w:szCs w:val="22"/>
          <w:lang w:val="id-ID"/>
        </w:rPr>
        <w:t xml:space="preserve">Gagal ginjal kronis (GGK) </w:t>
      </w:r>
      <w:r>
        <w:rPr>
          <w:rFonts w:ascii="Cambria" w:hAnsi="Cambria" w:eastAsia="DengXian" w:cs="Times New Roman"/>
          <w:color w:val="000000"/>
          <w:sz w:val="22"/>
          <w:szCs w:val="22"/>
          <w:lang w:val="zh-CN"/>
        </w:rPr>
        <w:t> ditandai oleh penurunan bertahap fungsi ginjal yang berlangsung selama lebih dari tiga bulan</w:t>
      </w:r>
      <w:r>
        <w:rPr>
          <w:rFonts w:ascii="Cambria" w:hAnsi="Cambria" w:eastAsia="DengXian" w:cs="Times New Roman"/>
          <w:color w:val="000000"/>
          <w:sz w:val="22"/>
          <w:szCs w:val="22"/>
          <w:lang w:val="id-ID"/>
        </w:rPr>
        <w:t xml:space="preserve">. Adapun fungsi ginjal utama yang terpengaruh diantaranya, regulasi elektrolit, dan produksi hormon. </w:t>
      </w:r>
    </w:p>
    <w:p>
      <w:pPr>
        <w:spacing w:line="240" w:lineRule="auto"/>
        <w:ind w:firstLine="685"/>
        <w:contextualSpacing/>
        <w:jc w:val="both"/>
        <w:rPr>
          <w:rFonts w:ascii="Cambria" w:hAnsi="Cambria" w:eastAsia="DengXian" w:cs="Times New Roman"/>
          <w:color w:val="000000"/>
          <w:sz w:val="22"/>
          <w:szCs w:val="22"/>
          <w:lang w:val="id-ID"/>
        </w:rPr>
      </w:pPr>
      <w:r>
        <w:rPr>
          <w:rFonts w:ascii="Cambria" w:hAnsi="Cambria" w:eastAsia="DengXian" w:cs="Times New Roman"/>
          <w:color w:val="000000"/>
          <w:sz w:val="22"/>
          <w:szCs w:val="22"/>
          <w:lang w:val="id-ID"/>
        </w:rPr>
        <w:t xml:space="preserve">Pada regulasi elektrolit ginjal juga mengatur keseimbangan elektrolit dalam tubuh, termasuk natrium,kalium,dan fosfor. Penurunan fungsi ginjal dapat menyebabkan ketidakseimbangan elektrolit, yang bepotensi menyebabkan masalah </w:t>
      </w:r>
      <w:r>
        <w:rPr>
          <w:rFonts w:ascii="Cambria" w:hAnsi="Cambria" w:eastAsia="DengXian" w:cs="Times New Roman"/>
          <w:color w:val="000000"/>
          <w:sz w:val="22"/>
          <w:szCs w:val="22"/>
          <w:lang w:val="id-ID"/>
        </w:rPr>
        <w:t>jantung dan otot. Dapat mengakibatkan terjadi intoleransi aktivitas dikarenakan kerja jantung yang berlebih dalam memompa darah keseluruh tubuh. (</w:t>
      </w:r>
      <w:r>
        <w:rPr>
          <w:rFonts w:ascii="Cambria" w:hAnsi="Cambria"/>
          <w:sz w:val="22"/>
          <w:szCs w:val="22"/>
        </w:rPr>
        <w:fldChar w:fldCharType="begin"/>
      </w:r>
      <w:r>
        <w:rPr>
          <w:rFonts w:ascii="Cambria" w:hAnsi="Cambria"/>
          <w:sz w:val="22"/>
          <w:szCs w:val="22"/>
        </w:rPr>
        <w:instrText xml:space="preserve"> HYPERLINK \l "Tiffany18" </w:instrText>
      </w:r>
      <w:r>
        <w:rPr>
          <w:rFonts w:ascii="Cambria" w:hAnsi="Cambria"/>
          <w:sz w:val="22"/>
          <w:szCs w:val="22"/>
        </w:rPr>
        <w:fldChar w:fldCharType="separate"/>
      </w:r>
      <w:r>
        <w:rPr>
          <w:rFonts w:ascii="Cambria" w:hAnsi="Cambria" w:eastAsia="DengXian" w:cs="Times New Roman"/>
          <w:color w:val="000000"/>
          <w:sz w:val="22"/>
          <w:szCs w:val="22"/>
          <w:lang w:val="id-ID"/>
        </w:rPr>
        <w:t>tifanny, 2018</w:t>
      </w:r>
      <w:r>
        <w:rPr>
          <w:rFonts w:ascii="Cambria" w:hAnsi="Cambria" w:eastAsia="DengXian" w:cs="Times New Roman"/>
          <w:color w:val="000000"/>
          <w:sz w:val="22"/>
          <w:szCs w:val="22"/>
          <w:lang w:val="id-ID"/>
        </w:rPr>
        <w:fldChar w:fldCharType="end"/>
      </w:r>
      <w:r>
        <w:rPr>
          <w:rFonts w:ascii="Cambria" w:hAnsi="Cambria" w:eastAsia="DengXian" w:cs="Times New Roman"/>
          <w:color w:val="000000"/>
          <w:sz w:val="22"/>
          <w:szCs w:val="22"/>
          <w:lang w:val="id-ID"/>
        </w:rPr>
        <w:t>). Ginjal juga memproduksi hormon eritropoietin yang merangsang produksi sel darah merah. Pada CKD hormon ini berkurang, menyebabkan terjadinya anemia.  Anemia sendiri ditandai oleh penurunan jumlah sel darah merah atau hemaglobin, yang berfungsi membawa oksigen ke jaringan tubuh. Akibatnya, kadar oksigen yang tersedia untuk sel-sel tubuh menjadi rendah, menyebabkan hipoksia. Dengan berkurangnya pasokan oksigen, metabolisme sel terganggu, yang mengakibatkan penurunan energi yang diperlukan untuk melakukan aktivitas sehari-hari sehingga muncul masalah intoleransi aktivitas.(</w:t>
      </w:r>
      <w:r>
        <w:rPr>
          <w:rFonts w:ascii="Cambria" w:hAnsi="Cambria"/>
          <w:sz w:val="22"/>
          <w:szCs w:val="22"/>
        </w:rPr>
        <w:fldChar w:fldCharType="begin"/>
      </w:r>
      <w:r>
        <w:rPr>
          <w:rFonts w:ascii="Cambria" w:hAnsi="Cambria"/>
          <w:sz w:val="22"/>
          <w:szCs w:val="22"/>
        </w:rPr>
        <w:instrText xml:space="preserve"> HYPERLINK \l "Fitriany" </w:instrText>
      </w:r>
      <w:r>
        <w:rPr>
          <w:rFonts w:ascii="Cambria" w:hAnsi="Cambria"/>
          <w:sz w:val="22"/>
          <w:szCs w:val="22"/>
        </w:rPr>
        <w:fldChar w:fldCharType="separate"/>
      </w:r>
      <w:r>
        <w:rPr>
          <w:rFonts w:ascii="Cambria" w:hAnsi="Cambria" w:eastAsia="DengXian" w:cs="Times New Roman"/>
          <w:color w:val="000000"/>
          <w:sz w:val="22"/>
          <w:szCs w:val="22"/>
          <w:lang w:val="id-ID"/>
        </w:rPr>
        <w:t>Fitriany,2021</w:t>
      </w:r>
      <w:r>
        <w:rPr>
          <w:rFonts w:ascii="Cambria" w:hAnsi="Cambria" w:eastAsia="DengXian" w:cs="Times New Roman"/>
          <w:color w:val="000000"/>
          <w:sz w:val="22"/>
          <w:szCs w:val="22"/>
          <w:lang w:val="id-ID"/>
        </w:rPr>
        <w:fldChar w:fldCharType="end"/>
      </w:r>
      <w:r>
        <w:rPr>
          <w:rFonts w:ascii="Cambria" w:hAnsi="Cambria" w:eastAsia="DengXian" w:cs="Times New Roman"/>
          <w:color w:val="000000"/>
          <w:sz w:val="22"/>
          <w:szCs w:val="22"/>
          <w:lang w:val="id-ID"/>
        </w:rPr>
        <w:t>).</w:t>
      </w:r>
    </w:p>
    <w:p>
      <w:pPr>
        <w:spacing w:line="240" w:lineRule="auto"/>
        <w:ind w:firstLine="685"/>
        <w:contextualSpacing/>
        <w:jc w:val="both"/>
        <w:rPr>
          <w:rFonts w:ascii="Cambria" w:hAnsi="Cambria" w:eastAsia="DengXian" w:cs="Times New Roman"/>
          <w:color w:val="000000"/>
          <w:sz w:val="22"/>
          <w:szCs w:val="22"/>
          <w:lang w:val="zh-CN"/>
        </w:rPr>
      </w:pPr>
      <w:r>
        <w:rPr>
          <w:rFonts w:ascii="Cambria" w:hAnsi="Cambria" w:eastAsia="DengXian" w:cs="Times New Roman"/>
          <w:color w:val="000000"/>
          <w:sz w:val="22"/>
          <w:szCs w:val="22"/>
          <w:lang w:val="zh-CN"/>
        </w:rPr>
        <w:t xml:space="preserve">Intoleransi aktivitas didefinisikan sebagai keterbatasan dalam melakukan aktivitas fisik sehari-hari yang disebabkan oleh kelelahan, sesak napas, atau kelemahan otot. Kondisi ini seringkali menggangu kualitas hidup pasien dan dapat memperburuk kesehatan mereka </w:t>
      </w:r>
      <w:r>
        <w:rPr>
          <w:rFonts w:ascii="Cambria" w:hAnsi="Cambria" w:eastAsia="DengXian" w:cs="Times New Roman"/>
          <w:color w:val="000000"/>
          <w:sz w:val="22"/>
          <w:szCs w:val="22"/>
          <w:lang w:val="id-ID"/>
        </w:rPr>
        <w:t>(</w:t>
      </w:r>
      <w:r>
        <w:rPr>
          <w:rFonts w:ascii="Cambria" w:hAnsi="Cambria"/>
          <w:sz w:val="22"/>
          <w:szCs w:val="22"/>
        </w:rPr>
        <w:fldChar w:fldCharType="begin"/>
      </w:r>
      <w:r>
        <w:rPr>
          <w:rFonts w:ascii="Cambria" w:hAnsi="Cambria"/>
          <w:sz w:val="22"/>
          <w:szCs w:val="22"/>
        </w:rPr>
        <w:instrText xml:space="preserve"> HYPERLINK \l "Sari" </w:instrText>
      </w:r>
      <w:r>
        <w:rPr>
          <w:rFonts w:ascii="Cambria" w:hAnsi="Cambria"/>
          <w:sz w:val="22"/>
          <w:szCs w:val="22"/>
        </w:rPr>
        <w:fldChar w:fldCharType="separate"/>
      </w:r>
      <w:r>
        <w:rPr>
          <w:rFonts w:ascii="Cambria" w:hAnsi="Cambria" w:eastAsia="DengXian" w:cs="Times New Roman"/>
          <w:color w:val="000000"/>
          <w:sz w:val="22"/>
          <w:szCs w:val="22"/>
          <w:lang w:val="id-ID"/>
        </w:rPr>
        <w:t>Sari,2020</w:t>
      </w:r>
      <w:r>
        <w:rPr>
          <w:rFonts w:ascii="Cambria" w:hAnsi="Cambria" w:eastAsia="DengXian" w:cs="Times New Roman"/>
          <w:color w:val="000000"/>
          <w:sz w:val="22"/>
          <w:szCs w:val="22"/>
          <w:lang w:val="id-ID"/>
        </w:rPr>
        <w:fldChar w:fldCharType="end"/>
      </w:r>
      <w:r>
        <w:rPr>
          <w:rFonts w:ascii="Cambria" w:hAnsi="Cambria" w:eastAsia="DengXian" w:cs="Times New Roman"/>
          <w:color w:val="000000"/>
          <w:sz w:val="22"/>
          <w:szCs w:val="22"/>
          <w:lang w:val="id-ID"/>
        </w:rPr>
        <w:t>)</w:t>
      </w:r>
      <w:r>
        <w:rPr>
          <w:rFonts w:ascii="Cambria" w:hAnsi="Cambria" w:eastAsia="DengXian" w:cs="Times New Roman"/>
          <w:color w:val="000000"/>
          <w:sz w:val="22"/>
          <w:szCs w:val="22"/>
          <w:lang w:val="zh-CN"/>
        </w:rPr>
        <w:t>. Ada beberapa factor yang yang menyebabkan intoleransi aktivitas pada pasien CKD, di antaranya anemia, gangguan elektrolit, dan efek samping terapi, seperti dialysis. Anemia merupakan salah satu kondisi umum yang terjadi pada pasien CKD, yang dapat menimbulkan kelelahan dapat penurunan kemampuan untuk beraktivitas (</w:t>
      </w:r>
      <w:r>
        <w:rPr>
          <w:rFonts w:ascii="Cambria" w:hAnsi="Cambria"/>
          <w:sz w:val="22"/>
          <w:szCs w:val="22"/>
        </w:rPr>
        <w:fldChar w:fldCharType="begin"/>
      </w:r>
      <w:r>
        <w:rPr>
          <w:rFonts w:ascii="Cambria" w:hAnsi="Cambria"/>
          <w:sz w:val="22"/>
          <w:szCs w:val="22"/>
        </w:rPr>
        <w:instrText xml:space="preserve"> HYPERLINK \l "Prasetyo" </w:instrText>
      </w:r>
      <w:r>
        <w:rPr>
          <w:rFonts w:ascii="Cambria" w:hAnsi="Cambria"/>
          <w:sz w:val="22"/>
          <w:szCs w:val="22"/>
        </w:rPr>
        <w:fldChar w:fldCharType="separate"/>
      </w:r>
      <w:r>
        <w:rPr>
          <w:rFonts w:ascii="Cambria" w:hAnsi="Cambria" w:eastAsia="DengXian" w:cs="Times New Roman"/>
          <w:color w:val="000000"/>
          <w:sz w:val="22"/>
          <w:szCs w:val="22"/>
          <w:lang w:val="id-ID"/>
        </w:rPr>
        <w:t>Prasetyo</w:t>
      </w:r>
      <w:r>
        <w:rPr>
          <w:rFonts w:ascii="Cambria" w:hAnsi="Cambria" w:eastAsia="DengXian" w:cs="Times New Roman"/>
          <w:color w:val="000000"/>
          <w:sz w:val="22"/>
          <w:szCs w:val="22"/>
          <w:lang w:val="zh-CN"/>
        </w:rPr>
        <w:t>, 2020</w:t>
      </w:r>
      <w:r>
        <w:rPr>
          <w:rFonts w:ascii="Cambria" w:hAnsi="Cambria" w:eastAsia="DengXian" w:cs="Times New Roman"/>
          <w:color w:val="000000"/>
          <w:sz w:val="22"/>
          <w:szCs w:val="22"/>
          <w:lang w:val="zh-CN"/>
        </w:rPr>
        <w:fldChar w:fldCharType="end"/>
      </w:r>
      <w:r>
        <w:rPr>
          <w:rFonts w:ascii="Cambria" w:hAnsi="Cambria" w:eastAsia="DengXian" w:cs="Times New Roman"/>
          <w:color w:val="000000"/>
          <w:sz w:val="22"/>
          <w:szCs w:val="22"/>
          <w:lang w:val="zh-CN"/>
        </w:rPr>
        <w:t xml:space="preserve">). </w:t>
      </w:r>
    </w:p>
    <w:p>
      <w:pPr>
        <w:spacing w:line="240" w:lineRule="auto"/>
        <w:ind w:firstLine="685"/>
        <w:contextualSpacing/>
        <w:jc w:val="both"/>
        <w:rPr>
          <w:rFonts w:ascii="Cambria" w:hAnsi="Cambria" w:eastAsia="DengXian" w:cs="Times New Roman"/>
          <w:color w:val="000000"/>
          <w:sz w:val="22"/>
          <w:szCs w:val="22"/>
          <w:lang w:eastAsia="zh-CN"/>
        </w:rPr>
      </w:pPr>
      <w:r>
        <w:rPr>
          <w:rFonts w:ascii="Cambria" w:hAnsi="Cambria" w:eastAsia="DengXian" w:cs="Times New Roman"/>
          <w:color w:val="000000"/>
          <w:sz w:val="22"/>
          <w:szCs w:val="22"/>
        </w:rPr>
        <w:t xml:space="preserve"> Dampak jika intoleransi aktivitas tidak ditangani, maka akan menyebabkan </w:t>
      </w:r>
      <w:r>
        <w:rPr>
          <w:rFonts w:ascii="Cambria" w:hAnsi="Cambria" w:eastAsia="DengXian" w:cs="Times New Roman"/>
          <w:color w:val="000000"/>
          <w:sz w:val="22"/>
          <w:szCs w:val="22"/>
          <w:lang w:val="zh-CN" w:eastAsia="zh-CN"/>
        </w:rPr>
        <w:t>penurunan kualitas hidup</w:t>
      </w:r>
      <w:r>
        <w:rPr>
          <w:rFonts w:ascii="Cambria" w:hAnsi="Cambria" w:eastAsia="DengXian" w:cs="Times New Roman"/>
          <w:color w:val="000000"/>
          <w:sz w:val="22"/>
          <w:szCs w:val="22"/>
          <w:lang w:eastAsia="zh-CN"/>
        </w:rPr>
        <w:t xml:space="preserve"> karena k</w:t>
      </w:r>
      <w:r>
        <w:rPr>
          <w:rFonts w:ascii="Cambria" w:hAnsi="Cambria" w:eastAsia="DengXian" w:cs="Times New Roman"/>
          <w:color w:val="000000"/>
          <w:sz w:val="22"/>
          <w:szCs w:val="22"/>
          <w:lang w:val="zh-CN" w:eastAsia="zh-CN"/>
        </w:rPr>
        <w:t xml:space="preserve">etidakmampuan untuk melakukan aktivitas sehari-hari </w:t>
      </w:r>
      <w:r>
        <w:rPr>
          <w:rFonts w:ascii="Cambria" w:hAnsi="Cambria" w:eastAsia="DengXian" w:cs="Times New Roman"/>
          <w:color w:val="000000"/>
          <w:sz w:val="22"/>
          <w:szCs w:val="22"/>
          <w:lang w:eastAsia="zh-CN"/>
        </w:rPr>
        <w:t>yang</w:t>
      </w:r>
      <w:r>
        <w:rPr>
          <w:rFonts w:ascii="Cambria" w:hAnsi="Cambria" w:eastAsia="DengXian" w:cs="Times New Roman"/>
          <w:color w:val="000000"/>
          <w:sz w:val="22"/>
          <w:szCs w:val="22"/>
          <w:lang w:val="zh-CN" w:eastAsia="zh-CN"/>
        </w:rPr>
        <w:t xml:space="preserve"> menyebabkan pasien merasa terasing dan depresi. </w:t>
      </w:r>
      <w:r>
        <w:rPr>
          <w:rFonts w:ascii="Cambria" w:hAnsi="Cambria" w:eastAsia="DengXian" w:cs="Times New Roman"/>
          <w:color w:val="000000"/>
          <w:sz w:val="22"/>
          <w:szCs w:val="22"/>
          <w:lang w:val="zh-CN"/>
        </w:rPr>
        <w:t>Hal ini mengurangi kualitas hidup secara keseluruhan dan mempengaruhi kesehatan mental pasien</w:t>
      </w:r>
      <w:r>
        <w:rPr>
          <w:rFonts w:ascii="Cambria" w:hAnsi="Cambria" w:eastAsia="DengXian" w:cs="Times New Roman"/>
          <w:color w:val="000000"/>
          <w:sz w:val="22"/>
          <w:szCs w:val="22"/>
        </w:rPr>
        <w:t>. Selain itu, menyebabkan dampak k</w:t>
      </w:r>
      <w:r>
        <w:rPr>
          <w:rFonts w:ascii="Cambria" w:hAnsi="Cambria" w:eastAsia="DengXian" w:cs="Times New Roman"/>
          <w:color w:val="000000"/>
          <w:sz w:val="22"/>
          <w:szCs w:val="22"/>
          <w:lang w:val="zh-CN"/>
        </w:rPr>
        <w:t xml:space="preserve">omplikasi </w:t>
      </w:r>
      <w:r>
        <w:rPr>
          <w:rFonts w:ascii="Cambria" w:hAnsi="Cambria" w:eastAsia="DengXian" w:cs="Times New Roman"/>
          <w:color w:val="000000"/>
          <w:sz w:val="22"/>
          <w:szCs w:val="22"/>
        </w:rPr>
        <w:t>f</w:t>
      </w:r>
      <w:r>
        <w:rPr>
          <w:rFonts w:ascii="Cambria" w:hAnsi="Cambria" w:eastAsia="DengXian" w:cs="Times New Roman"/>
          <w:color w:val="000000"/>
          <w:sz w:val="22"/>
          <w:szCs w:val="22"/>
          <w:lang w:val="zh-CN"/>
        </w:rPr>
        <w:t>isik</w:t>
      </w:r>
      <w:r>
        <w:rPr>
          <w:rFonts w:ascii="Cambria" w:hAnsi="Cambria" w:eastAsia="DengXian" w:cs="Times New Roman"/>
          <w:color w:val="000000"/>
          <w:sz w:val="22"/>
          <w:szCs w:val="22"/>
        </w:rPr>
        <w:t xml:space="preserve"> </w:t>
      </w:r>
      <w:r>
        <w:rPr>
          <w:rFonts w:ascii="Cambria" w:hAnsi="Cambria" w:eastAsia="DengXian" w:cs="Times New Roman"/>
          <w:color w:val="000000"/>
          <w:sz w:val="22"/>
          <w:szCs w:val="22"/>
          <w:lang w:val="zh-CN"/>
        </w:rPr>
        <w:t>seperti atrofi otot akibat kurangnya aktivitas fisik, risiko atelektasis, serta gangguan integritas kulit seperti dekubitus akibat tekanan yang terlalu lama</w:t>
      </w:r>
      <w:r>
        <w:rPr>
          <w:rFonts w:ascii="Cambria" w:hAnsi="Cambria" w:eastAsia="DengXian" w:cs="Times New Roman"/>
          <w:color w:val="000000"/>
          <w:sz w:val="22"/>
          <w:szCs w:val="22"/>
        </w:rPr>
        <w:t>. Kemudian r</w:t>
      </w:r>
      <w:r>
        <w:rPr>
          <w:rFonts w:ascii="Cambria" w:hAnsi="Cambria" w:eastAsia="DengXian" w:cs="Times New Roman"/>
          <w:color w:val="000000"/>
          <w:sz w:val="22"/>
          <w:szCs w:val="22"/>
          <w:lang w:val="zh-CN"/>
        </w:rPr>
        <w:t>isiko Kesehatan Lainnya: Intoleransi aktivitas juga dapat meningkatkan risiko masalah kesehatan lain seperti gangguan pola tidur, hipervolemia, dan defisit nutrisi</w:t>
      </w:r>
      <w:r>
        <w:rPr>
          <w:rFonts w:ascii="Cambria" w:hAnsi="Cambria" w:eastAsia="DengXian" w:cs="Times New Roman"/>
          <w:color w:val="000000"/>
          <w:sz w:val="22"/>
          <w:szCs w:val="22"/>
        </w:rPr>
        <w:t>.</w:t>
      </w:r>
      <w:r>
        <w:rPr>
          <w:rFonts w:ascii="Cambria" w:hAnsi="Cambria" w:eastAsia="DengXian" w:cs="Times New Roman"/>
          <w:color w:val="000000"/>
          <w:sz w:val="22"/>
          <w:szCs w:val="22"/>
          <w:shd w:val="clear" w:color="auto" w:fill="FFFFFF"/>
          <w:lang w:val="zh-CN"/>
        </w:rPr>
        <w:t xml:space="preserve"> </w:t>
      </w:r>
      <w:r>
        <w:rPr>
          <w:rFonts w:ascii="Cambria" w:hAnsi="Cambria" w:eastAsia="DengXian" w:cs="Times New Roman"/>
          <w:color w:val="000000"/>
          <w:sz w:val="22"/>
          <w:szCs w:val="22"/>
          <w:shd w:val="clear" w:color="auto" w:fill="FFFFFF"/>
        </w:rPr>
        <w:t>(</w:t>
      </w:r>
      <w:r>
        <w:fldChar w:fldCharType="begin"/>
      </w:r>
      <w:r>
        <w:instrText xml:space="preserve"> HYPERLINK \l "Wijonarko" </w:instrText>
      </w:r>
      <w:r>
        <w:fldChar w:fldCharType="separate"/>
      </w:r>
      <w:r>
        <w:rPr>
          <w:rFonts w:ascii="Cambria" w:hAnsi="Cambria" w:eastAsia="DengXian" w:cs="Times New Roman"/>
          <w:color w:val="000000"/>
          <w:sz w:val="22"/>
          <w:szCs w:val="22"/>
          <w:shd w:val="clear" w:color="auto" w:fill="FFFFFF"/>
          <w:lang w:val="zh-CN"/>
        </w:rPr>
        <w:t>Wijonarko, W., &amp; Ferry, F. 2024</w:t>
      </w:r>
      <w:r>
        <w:rPr>
          <w:rFonts w:ascii="Cambria" w:hAnsi="Cambria" w:eastAsia="DengXian" w:cs="Times New Roman"/>
          <w:color w:val="000000"/>
          <w:sz w:val="22"/>
          <w:szCs w:val="22"/>
          <w:shd w:val="clear" w:color="auto" w:fill="FFFFFF"/>
          <w:lang w:val="zh-CN"/>
        </w:rPr>
        <w:fldChar w:fldCharType="end"/>
      </w:r>
      <w:r>
        <w:rPr>
          <w:rFonts w:ascii="Cambria" w:hAnsi="Cambria" w:eastAsia="DengXian" w:cs="Times New Roman"/>
          <w:color w:val="000000"/>
          <w:sz w:val="22"/>
          <w:szCs w:val="22"/>
          <w:shd w:val="clear" w:color="auto" w:fill="FFFFFF"/>
          <w:lang w:val="zh-CN"/>
        </w:rPr>
        <w:t>).</w:t>
      </w:r>
    </w:p>
    <w:p>
      <w:pPr>
        <w:spacing w:line="240" w:lineRule="auto"/>
        <w:ind w:firstLine="685"/>
        <w:contextualSpacing/>
        <w:jc w:val="both"/>
        <w:rPr>
          <w:rFonts w:ascii="Cambria" w:hAnsi="Cambria" w:eastAsia="DengXian" w:cs="Times New Roman"/>
          <w:color w:val="000000"/>
          <w:sz w:val="22"/>
          <w:szCs w:val="22"/>
          <w:lang w:val="zh-CN"/>
        </w:rPr>
      </w:pPr>
      <w:r>
        <w:rPr>
          <w:rFonts w:ascii="Cambria" w:hAnsi="Cambria" w:eastAsia="DengXian" w:cs="Times New Roman"/>
          <w:color w:val="000000"/>
          <w:sz w:val="22"/>
          <w:szCs w:val="22"/>
          <w:lang w:val="zh-CN"/>
        </w:rPr>
        <w:t>Perawat memiliki peran krusial dalam mengidentifikasi dan mengatasi masalah intoleransi aktivitas pada pasien CKD. Melalui pengkajian yang mendalam, perawat dapat menentukan tingkat intoleransi aktivitas dan merencakan intervensi yang sesuai untuk meningkatkan kemampuan aktivitas pasien. Intervensi ini dapat mencakup program latihan fisik yang terstruktur dan edukasi mengenai pengelolaan energy (Hendrawan, 2021).</w:t>
      </w:r>
    </w:p>
    <w:p>
      <w:pPr>
        <w:spacing w:line="240" w:lineRule="auto"/>
        <w:ind w:firstLine="685"/>
        <w:contextualSpacing/>
        <w:jc w:val="both"/>
        <w:rPr>
          <w:rFonts w:ascii="Cambria" w:hAnsi="Cambria" w:eastAsia="DengXian" w:cs="Times New Roman"/>
          <w:color w:val="000000"/>
          <w:sz w:val="22"/>
          <w:szCs w:val="22"/>
          <w:lang w:val="zh-CN"/>
        </w:rPr>
      </w:pPr>
      <w:r>
        <w:rPr>
          <w:rFonts w:ascii="Cambria" w:hAnsi="Cambria" w:eastAsia="DengXian" w:cs="Times New Roman"/>
          <w:color w:val="000000"/>
          <w:sz w:val="22"/>
          <w:szCs w:val="22"/>
          <w:lang w:val="zh-CN"/>
        </w:rPr>
        <w:t xml:space="preserve">Manajemen Energi ( I.0517), manajenen energi adalah intervensi yang dilakukan oleh perawat untuk mingidentifikasi dan mengelola penggunaan energi untuk mengataasi atau mencegah kelelahan dan mengoptimalkan proses pemulihan. Manajemen energi merupakan aplikasi dari energi konservatif. Konservasi energi melibatkan perubahan aktivitas sehingga dapat mengelola kelelahan dengan baik. ( </w:t>
      </w:r>
      <w:r>
        <w:rPr>
          <w:rFonts w:ascii="Cambria" w:hAnsi="Cambria"/>
          <w:sz w:val="22"/>
          <w:szCs w:val="22"/>
        </w:rPr>
        <w:fldChar w:fldCharType="begin"/>
      </w:r>
      <w:r>
        <w:rPr>
          <w:rFonts w:ascii="Cambria" w:hAnsi="Cambria"/>
          <w:sz w:val="22"/>
          <w:szCs w:val="22"/>
        </w:rPr>
        <w:instrText xml:space="preserve"> HYPERLINK \l "Vatwani" </w:instrText>
      </w:r>
      <w:r>
        <w:rPr>
          <w:rFonts w:ascii="Cambria" w:hAnsi="Cambria"/>
          <w:sz w:val="22"/>
          <w:szCs w:val="22"/>
        </w:rPr>
        <w:fldChar w:fldCharType="separate"/>
      </w:r>
      <w:r>
        <w:rPr>
          <w:rFonts w:ascii="Cambria" w:hAnsi="Cambria" w:eastAsia="DengXian" w:cs="Times New Roman"/>
          <w:color w:val="000000"/>
          <w:sz w:val="22"/>
          <w:szCs w:val="22"/>
          <w:lang w:val="zh-CN"/>
        </w:rPr>
        <w:t>Vatwani &amp; Margionis, 2019</w:t>
      </w:r>
      <w:r>
        <w:rPr>
          <w:rFonts w:ascii="Cambria" w:hAnsi="Cambria" w:eastAsia="DengXian" w:cs="Times New Roman"/>
          <w:color w:val="000000"/>
          <w:sz w:val="22"/>
          <w:szCs w:val="22"/>
          <w:lang w:val="zh-CN"/>
        </w:rPr>
        <w:fldChar w:fldCharType="end"/>
      </w:r>
      <w:r>
        <w:rPr>
          <w:rFonts w:ascii="Cambria" w:hAnsi="Cambria" w:eastAsia="DengXian" w:cs="Times New Roman"/>
          <w:color w:val="000000"/>
          <w:sz w:val="22"/>
          <w:szCs w:val="22"/>
          <w:lang w:val="zh-CN"/>
        </w:rPr>
        <w:t xml:space="preserve">). </w:t>
      </w:r>
    </w:p>
    <w:p>
      <w:pPr>
        <w:spacing w:line="240" w:lineRule="auto"/>
        <w:ind w:firstLine="685"/>
        <w:contextualSpacing/>
        <w:jc w:val="both"/>
        <w:rPr>
          <w:rFonts w:ascii="Cambria" w:hAnsi="Cambria" w:eastAsia="DengXian" w:cs="Times New Roman"/>
          <w:color w:val="000000"/>
          <w:sz w:val="22"/>
          <w:szCs w:val="22"/>
          <w:lang w:val="zh-CN"/>
        </w:rPr>
      </w:pPr>
      <w:r>
        <w:rPr>
          <w:rFonts w:ascii="Cambria" w:hAnsi="Cambria" w:eastAsia="DengXian" w:cs="Times New Roman"/>
          <w:color w:val="000000"/>
          <w:sz w:val="22"/>
          <w:szCs w:val="22"/>
          <w:lang w:val="zh-CN"/>
        </w:rPr>
        <w:t>Adapun</w:t>
      </w:r>
      <w:r>
        <w:rPr>
          <w:rFonts w:ascii="Cambria" w:hAnsi="Cambria" w:eastAsia="DengXian" w:cs="Times New Roman"/>
          <w:color w:val="000000"/>
          <w:sz w:val="22"/>
          <w:szCs w:val="22"/>
          <w:lang w:val="id-ID"/>
        </w:rPr>
        <w:t xml:space="preserve"> intervensi manajemen energi itu sendiri antara lain : Observasi : identifikasi gangguan fungsi tubuh yang mengakibatkan kelelahan, monitor kelelahan fisik dan emosional, monitor pola dan jam tidur, dan monitor lokasi dan ketidaknyamanan aktivitas. Terapeutik : sediakan lingkungan yang nyaman rendah stimulus, lakukan latihan rentang gerak pasif atau aktif (ROM), berikan aktivitas distraksi yang menenangkan, dan fasilitasi duduk disisi tempat tidur jika tidak dapat berpindah atau berjalan. Edukasi : Anjurkan tirah baring, anjurkan melakukan aktivitas bertahap, anjurkan menghubungi perawat jika dan ada gejala kelelahan tidak berkurang, dan ajarkan strategi koping untuk mengurang kelelahan.</w:t>
      </w:r>
      <w:r>
        <w:rPr>
          <w:rFonts w:ascii="Cambria" w:hAnsi="Cambria" w:eastAsia="DengXian" w:cs="Times New Roman"/>
          <w:color w:val="000000"/>
          <w:sz w:val="22"/>
          <w:szCs w:val="22"/>
          <w:lang w:val="zh-CN"/>
        </w:rPr>
        <w:t xml:space="preserve"> (SIKI)</w:t>
      </w:r>
    </w:p>
    <w:p>
      <w:pPr>
        <w:spacing w:line="240" w:lineRule="auto"/>
        <w:ind w:firstLine="685"/>
        <w:contextualSpacing/>
        <w:jc w:val="both"/>
        <w:rPr>
          <w:rFonts w:ascii="Cambria" w:hAnsi="Cambria" w:eastAsia="DengXian" w:cs="Times New Roman"/>
          <w:color w:val="000000"/>
          <w:sz w:val="22"/>
          <w:szCs w:val="22"/>
        </w:rPr>
      </w:pPr>
      <w:r>
        <w:rPr>
          <w:rFonts w:ascii="Cambria" w:hAnsi="Cambria" w:eastAsia="DengXian" w:cs="Times New Roman"/>
          <w:color w:val="000000"/>
          <w:sz w:val="22"/>
          <w:szCs w:val="22"/>
          <w:lang w:val="zh-CN"/>
        </w:rPr>
        <w:t xml:space="preserve">   Berdasarkan dari hasil penelitian, implementasi yang dilakukan pada pasien CKD dengan intoleransi aktivitas selama 5 hari dengan cara mengkaji saturasi oksigen, mengkaji adanya kelelahan fisik, mengajarkan pasien teknik deep </w:t>
      </w:r>
      <w:r>
        <w:rPr>
          <w:rFonts w:ascii="Cambria" w:hAnsi="Cambria" w:eastAsia="DengXian" w:cs="Times New Roman"/>
          <w:color w:val="000000"/>
          <w:sz w:val="22"/>
          <w:szCs w:val="22"/>
          <w:lang w:val="zh-CN"/>
        </w:rPr>
        <w:t>diafragmatic breathing untuk mengurangi kelelahan dan menganjurkan tirah baring untuk istirahat dengan posisi semi fowler, menganjurkan pasien untuk beraktivitas secara bertahap dengan miring kanan dan miring kiri dan mengajarkan teknik pijat punggung. Hasil evaluasi hari kelima menunjukkan kondisi umum meningkat dari sebelumnya lemah menjadi sedang dan EKG membaik dengan irama sinus rhytm dan keluhan lelah menurun. (</w:t>
      </w:r>
      <w:bookmarkStart w:id="2" w:name="Wulandari"/>
      <w:r>
        <w:rPr>
          <w:rFonts w:ascii="Cambria" w:hAnsi="Cambria" w:eastAsia="DengXian" w:cs="Times New Roman"/>
          <w:color w:val="000000"/>
          <w:sz w:val="22"/>
          <w:szCs w:val="22"/>
          <w:lang w:val="zh-CN"/>
        </w:rPr>
        <w:fldChar w:fldCharType="begin" w:fldLock="1"/>
      </w:r>
      <w:r>
        <w:rPr>
          <w:rFonts w:ascii="Cambria" w:hAnsi="Cambria" w:eastAsia="DengXian" w:cs="Times New Roman"/>
          <w:color w:val="000000"/>
          <w:sz w:val="22"/>
          <w:szCs w:val="22"/>
          <w:lang w:val="zh-CN"/>
        </w:rPr>
        <w:instrText xml:space="preserve"> HYPERLINK  \l "Amin" </w:instrText>
      </w:r>
      <w:r>
        <w:rPr>
          <w:rFonts w:ascii="Cambria" w:hAnsi="Cambria" w:eastAsia="DengXian" w:cs="Times New Roman"/>
          <w:color w:val="000000"/>
          <w:sz w:val="22"/>
          <w:szCs w:val="22"/>
          <w:lang w:val="zh-CN"/>
        </w:rPr>
        <w:fldChar w:fldCharType="separate"/>
      </w:r>
      <w:r>
        <w:rPr>
          <w:rFonts w:ascii="Cambria" w:hAnsi="Cambria" w:eastAsia="DengXian" w:cs="Times New Roman"/>
          <w:color w:val="000000"/>
          <w:sz w:val="22"/>
          <w:szCs w:val="22"/>
          <w:lang w:val="zh-CN"/>
        </w:rPr>
        <w:t>Amir, Cut Dharwina et al, 2023</w:t>
      </w:r>
      <w:bookmarkEnd w:id="2"/>
      <w:r>
        <w:rPr>
          <w:rFonts w:ascii="Cambria" w:hAnsi="Cambria" w:eastAsia="DengXian" w:cs="Times New Roman"/>
          <w:color w:val="000000"/>
          <w:sz w:val="22"/>
          <w:szCs w:val="22"/>
          <w:lang w:val="zh-CN"/>
        </w:rPr>
        <w:fldChar w:fldCharType="end"/>
      </w:r>
      <w:r>
        <w:rPr>
          <w:rFonts w:ascii="Cambria" w:hAnsi="Cambria" w:eastAsia="DengXian" w:cs="Times New Roman"/>
          <w:color w:val="000000"/>
          <w:sz w:val="22"/>
          <w:szCs w:val="22"/>
          <w:lang w:val="zh-CN"/>
        </w:rPr>
        <w:t>)</w:t>
      </w:r>
      <w:r>
        <w:rPr>
          <w:rFonts w:ascii="Cambria" w:hAnsi="Cambria" w:eastAsia="DengXian" w:cs="Times New Roman"/>
          <w:color w:val="000000"/>
          <w:sz w:val="22"/>
          <w:szCs w:val="22"/>
        </w:rPr>
        <w:t>.</w:t>
      </w:r>
    </w:p>
    <w:bookmarkEnd w:id="1"/>
    <w:p>
      <w:pPr>
        <w:spacing w:line="240" w:lineRule="auto"/>
        <w:ind w:left="450" w:firstLine="543"/>
        <w:contextualSpacing/>
        <w:jc w:val="both"/>
        <w:rPr>
          <w:rFonts w:ascii="Cambria" w:hAnsi="Cambria" w:eastAsia="DengXian" w:cs="Times New Roman"/>
          <w:color w:val="000000"/>
          <w:sz w:val="22"/>
          <w:szCs w:val="22"/>
          <w:lang w:val="id-ID" w:eastAsia="zh-CN"/>
        </w:rPr>
      </w:pPr>
    </w:p>
    <w:p>
      <w:pPr>
        <w:spacing w:line="240" w:lineRule="auto"/>
        <w:jc w:val="both"/>
        <w:rPr>
          <w:rFonts w:ascii="Cambria" w:hAnsi="Cambria" w:eastAsia="Cambria" w:cs="Cambria"/>
          <w:b/>
          <w:sz w:val="22"/>
          <w:szCs w:val="22"/>
        </w:rPr>
      </w:pPr>
      <w:r>
        <w:rPr>
          <w:rFonts w:ascii="Cambria" w:hAnsi="Cambria" w:eastAsia="Cambria" w:cs="Cambria"/>
          <w:b/>
          <w:sz w:val="22"/>
          <w:szCs w:val="22"/>
        </w:rPr>
        <w:t>METODE</w:t>
      </w:r>
    </w:p>
    <w:p>
      <w:pPr>
        <w:pStyle w:val="14"/>
        <w:ind w:left="0"/>
      </w:pPr>
      <w:r>
        <w:t>Desain penelitian ini disusun menggunakan metode studi kasus. Studi kasus adalah pendekatan penelitian yang fokus pada pengkajian mendalam terhadap satu unit penelitian, yang bisa berupa individu, keluarga, kelompok, atau institusi. Dalam rancangan studi kasus, keadaan spesifik dari kasus yang diteliti sangat mempengaruhi, meskipun faktor waktu tetap dipertimbangkan. Sebelumnya, riwayat dan pola perilaku yang relevan ditelaah dengan teliti. Dengan jumlah responden yang terbatas, rancangan studi kasus ini memungkinkan untuk memperoleh pemahaman yang jelas mengenai objek yang diteliti (Sonya dan Bagya, 2017).</w:t>
      </w:r>
    </w:p>
    <w:p>
      <w:pPr>
        <w:spacing w:line="240" w:lineRule="auto"/>
        <w:jc w:val="both"/>
        <w:rPr>
          <w:rFonts w:ascii="Cambria" w:hAnsi="Cambria" w:eastAsia="Cambria" w:cs="Cambria"/>
          <w:b/>
          <w:sz w:val="22"/>
          <w:szCs w:val="22"/>
        </w:rPr>
      </w:pPr>
    </w:p>
    <w:p>
      <w:pPr>
        <w:spacing w:before="240" w:line="240" w:lineRule="auto"/>
        <w:jc w:val="both"/>
        <w:rPr>
          <w:rFonts w:ascii="Cambria" w:hAnsi="Cambria" w:eastAsia="Cambria" w:cs="Cambria"/>
          <w:b/>
          <w:sz w:val="22"/>
          <w:szCs w:val="22"/>
        </w:rPr>
      </w:pPr>
      <w:r>
        <w:rPr>
          <w:rFonts w:ascii="Cambria" w:hAnsi="Cambria" w:eastAsia="Cambria" w:cs="Cambria"/>
          <w:b/>
          <w:sz w:val="22"/>
          <w:szCs w:val="22"/>
        </w:rPr>
        <w:t>HASIL</w:t>
      </w:r>
    </w:p>
    <w:p>
      <w:pPr>
        <w:pStyle w:val="12"/>
      </w:pPr>
      <w:r>
        <w:t xml:space="preserve">Berdasarkan dari hasil evaluasi pada Ny. L dengan kasus intoleransi aktivitas dengan manajemen energy dan latihan gerak ROM aktif, didapatkan pada hari ke-1 yaitu partisipan  dengan toleransi aktivitas sedang dengan skor 22, hari ke-2 didapatkan toleransi pada partisipan dengan toleransi aktivitas sedang dengan skor 22, hari ke- 3 didapatkan toleransi aktivitas sedang pada partisipan dengan skor 24 , hari ke-4 didapatkan toleransi aktivitas sedang dengan skor 24, hari ke-5 didapatkan toleransi aktivitas sedang dengan skor 26, dan hari ke-6 didapatkan toleransi aktivitas baik dengan skor 27. </w:t>
      </w:r>
    </w:p>
    <w:p>
      <w:pPr>
        <w:pStyle w:val="12"/>
      </w:pPr>
    </w:p>
    <w:p>
      <w:pPr>
        <w:spacing w:after="0" w:line="240" w:lineRule="auto"/>
        <w:jc w:val="both"/>
        <w:rPr>
          <w:rFonts w:ascii="Times New Roman" w:hAnsi="Times New Roman" w:eastAsia="DengXian" w:cs="Times New Roman"/>
          <w:lang w:val="en-GB"/>
        </w:rPr>
      </w:pPr>
      <w:r>
        <w:rPr>
          <w:rFonts w:ascii="Cambria" w:hAnsi="Cambria" w:eastAsia="DengXian" w:cs="Times New Roman"/>
          <w:sz w:val="22"/>
          <w:szCs w:val="22"/>
          <w:lang w:val="en-GB"/>
        </w:rPr>
        <w:t>Dari hasil implementasi selama 6 hari didapatkan pada setiap hari terjadi peningkatan toleransi aktivitas, dari toleransi aktivitas sedang menjadi toleransi aktivitas baik</w:t>
      </w:r>
      <w:r>
        <w:rPr>
          <w:rFonts w:ascii="Times New Roman" w:hAnsi="Times New Roman" w:eastAsia="DengXian" w:cs="Times New Roman"/>
          <w:lang w:val="en-GB"/>
        </w:rPr>
        <w:t>.</w:t>
      </w:r>
    </w:p>
    <w:p>
      <w:pPr>
        <w:spacing w:line="240" w:lineRule="auto"/>
        <w:jc w:val="center"/>
        <w:rPr>
          <w:rFonts w:ascii="Times New Roman" w:hAnsi="Times New Roman" w:eastAsia="Times New Roman" w:cs="Times New Roman"/>
        </w:rPr>
      </w:pPr>
      <w:r>
        <w:rPr>
          <w:rFonts w:ascii="DengXian" w:hAnsi="DengXian" w:eastAsia="DengXian" w:cs="Arial"/>
        </w:rPr>
        <w:drawing>
          <wp:inline distT="0" distB="0" distL="0" distR="0">
            <wp:extent cx="4000500" cy="2207260"/>
            <wp:effectExtent l="0" t="0" r="0" b="254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spacing w:after="200" w:line="240" w:lineRule="auto"/>
        <w:jc w:val="center"/>
        <w:rPr>
          <w:rFonts w:ascii="Cambria" w:hAnsi="Cambria" w:eastAsia="Cambria" w:cs="Cambria"/>
          <w:color w:val="000000"/>
          <w:sz w:val="22"/>
          <w:szCs w:val="22"/>
          <w:lang w:val="en-GB"/>
        </w:rPr>
      </w:pPr>
      <w:r>
        <w:rPr>
          <w:rFonts w:ascii="Cambria" w:hAnsi="Cambria" w:eastAsia="Cambria" w:cs="Cambria"/>
          <w:color w:val="000000"/>
          <w:sz w:val="22"/>
          <w:szCs w:val="22"/>
        </w:rPr>
        <w:t>Gambar. 1 Hasil Pen</w:t>
      </w:r>
      <w:r>
        <w:rPr>
          <w:rFonts w:ascii="Cambria" w:hAnsi="Cambria" w:eastAsia="Cambria" w:cs="Cambria"/>
          <w:color w:val="000000"/>
          <w:sz w:val="22"/>
          <w:szCs w:val="22"/>
        </w:rPr>
        <w:t xml:space="preserve">ilaian Evaluasi Keperatan </w:t>
      </w:r>
      <w:r>
        <w:rPr>
          <w:rFonts w:ascii="Cambria" w:hAnsi="Cambria" w:eastAsia="Cambria" w:cs="Cambria"/>
          <w:color w:val="000000"/>
          <w:sz w:val="22"/>
          <w:szCs w:val="22"/>
          <w:lang w:val="en-GB"/>
        </w:rPr>
        <w:t>Intoleransi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Aktivitas</w:t>
      </w:r>
    </w:p>
    <w:p>
      <w:pPr>
        <w:spacing w:line="240" w:lineRule="auto"/>
        <w:jc w:val="both"/>
        <w:rPr>
          <w:rFonts w:ascii="Cambria" w:hAnsi="Cambria" w:eastAsia="Cambria" w:cs="Cambria"/>
          <w:b/>
          <w:sz w:val="22"/>
          <w:szCs w:val="22"/>
        </w:rPr>
      </w:pPr>
      <w:r>
        <w:rPr>
          <w:rFonts w:ascii="Cambria" w:hAnsi="Cambria" w:eastAsia="Cambria" w:cs="Cambria"/>
          <w:b/>
          <w:sz w:val="22"/>
          <w:szCs w:val="22"/>
        </w:rPr>
        <w:t xml:space="preserve">PEMBAHASAN </w:t>
      </w:r>
    </w:p>
    <w:p>
      <w:pPr>
        <w:numPr>
          <w:ilvl w:val="0"/>
          <w:numId w:val="1"/>
        </w:num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 xml:space="preserve">Pengkajian </w:t>
      </w:r>
    </w:p>
    <w:p>
      <w:pPr>
        <w:pStyle w:val="54"/>
        <w:numPr>
          <w:ilvl w:val="1"/>
          <w:numId w:val="1"/>
        </w:numPr>
        <w:spacing w:after="0" w:line="240" w:lineRule="auto"/>
        <w:ind w:left="567" w:hanging="283"/>
        <w:jc w:val="both"/>
        <w:rPr>
          <w:rFonts w:ascii="Cambria" w:hAnsi="Cambria" w:eastAsia="Cambria" w:cs="Cambria"/>
          <w:color w:val="000000"/>
          <w:sz w:val="22"/>
          <w:szCs w:val="22"/>
          <w:lang w:val="en-GB"/>
        </w:rPr>
      </w:pPr>
      <w:r>
        <w:rPr>
          <w:rFonts w:ascii="Cambria" w:hAnsi="Cambria" w:eastAsia="Cambria" w:cs="Cambria"/>
          <w:color w:val="000000"/>
          <w:sz w:val="22"/>
          <w:szCs w:val="22"/>
          <w:lang w:val="en-GB"/>
        </w:rPr>
        <w:t>Usia</w:t>
      </w:r>
      <w:r>
        <w:rPr>
          <w:rFonts w:ascii="Cambria" w:hAnsi="Cambria" w:eastAsia="Cambria" w:cs="Cambria"/>
          <w:color w:val="000000"/>
          <w:sz w:val="22"/>
          <w:szCs w:val="22"/>
          <w:lang w:val="en-GB"/>
        </w:rPr>
        <w:t xml:space="preserve"> </w:t>
      </w:r>
    </w:p>
    <w:p>
      <w:pPr>
        <w:pStyle w:val="54"/>
        <w:spacing w:after="0" w:line="240" w:lineRule="auto"/>
        <w:ind w:left="567"/>
        <w:jc w:val="both"/>
        <w:rPr>
          <w:rFonts w:ascii="Cambria" w:hAnsi="Cambria" w:eastAsia="DengXian" w:cs="Times New Roman"/>
          <w:sz w:val="22"/>
          <w:szCs w:val="22"/>
          <w:lang w:val="en-GB"/>
        </w:rPr>
      </w:pPr>
      <w:r>
        <w:rPr>
          <w:rFonts w:ascii="Cambria" w:hAnsi="Cambria" w:eastAsia="DengXian" w:cs="Times New Roman"/>
          <w:sz w:val="22"/>
          <w:szCs w:val="22"/>
          <w:lang w:val="en-GB"/>
        </w:rPr>
        <w:t>Berdasarkan pengkajian didapatkan bahwa partisipan bernama Ny. L dan berusia 31 tahun.</w:t>
      </w:r>
    </w:p>
    <w:p>
      <w:pPr>
        <w:pStyle w:val="54"/>
        <w:spacing w:after="0" w:line="240" w:lineRule="auto"/>
        <w:ind w:left="567"/>
        <w:jc w:val="both"/>
        <w:rPr>
          <w:rFonts w:ascii="Cambria" w:hAnsi="Cambria" w:eastAsia="DengXian" w:cs="Times New Roman"/>
          <w:sz w:val="22"/>
          <w:szCs w:val="22"/>
          <w:lang w:val="en-GB"/>
        </w:rPr>
      </w:pPr>
      <w:r>
        <w:rPr>
          <w:rFonts w:ascii="Cambria" w:hAnsi="Cambria" w:eastAsia="DengXian" w:cs="Times New Roman"/>
          <w:sz w:val="22"/>
          <w:szCs w:val="22"/>
          <w:lang w:val="en-GB"/>
        </w:rPr>
        <w:t xml:space="preserve">Semakin betambah usia, semakin berkurang fungsi ginjal dan berhubungan dengan penurunan kecepatan ekstresi glomerulus dan memburuknya fungsi tubulus. Penurunan fungsi ginjal dalam skala kecil merupakan proses normal bagi setiap manusia seiring bertambahnya usia. Namun, akibat ada beberapa factor resiko dapat menyebabkan kelainan dimana penurunan fungsi ginjal terjadi secara cepat atau progresif sehingga menimbulkan berbagai keluhan dari ringan sampai berat, kondisi ini disebut gagal ginjal kronik (GGK) atau </w:t>
      </w:r>
      <w:r>
        <w:rPr>
          <w:rFonts w:ascii="Cambria" w:hAnsi="Cambria" w:eastAsia="DengXian" w:cs="Times New Roman"/>
          <w:i/>
          <w:sz w:val="22"/>
          <w:szCs w:val="22"/>
          <w:lang w:val="en-GB"/>
        </w:rPr>
        <w:t xml:space="preserve">chronic renal failure </w:t>
      </w:r>
      <w:r>
        <w:rPr>
          <w:rFonts w:ascii="Cambria" w:hAnsi="Cambria" w:eastAsia="DengXian" w:cs="Times New Roman"/>
          <w:sz w:val="22"/>
          <w:szCs w:val="22"/>
          <w:lang w:val="en-GB"/>
        </w:rPr>
        <w:t xml:space="preserve">(CRF). Secara klinik usia &gt; 60 tahun mempunyai resiko 2,2 kali lebih besar mengalami gagal ginjal kronik (pangestu &amp; oyang,2022). </w:t>
      </w:r>
    </w:p>
    <w:p>
      <w:pPr>
        <w:pStyle w:val="54"/>
        <w:spacing w:after="0" w:line="240" w:lineRule="auto"/>
        <w:ind w:left="567"/>
        <w:jc w:val="both"/>
        <w:rPr>
          <w:rFonts w:ascii="Cambria" w:hAnsi="Cambria" w:eastAsia="DengXian" w:cs="Times New Roman"/>
          <w:sz w:val="22"/>
          <w:szCs w:val="22"/>
          <w:lang w:val="en-GB"/>
        </w:rPr>
      </w:pPr>
    </w:p>
    <w:p>
      <w:pPr>
        <w:pStyle w:val="54"/>
        <w:spacing w:line="240" w:lineRule="auto"/>
        <w:ind w:left="567"/>
        <w:jc w:val="both"/>
        <w:rPr>
          <w:rFonts w:ascii="Cambria" w:hAnsi="Cambria" w:eastAsia="DengXian" w:cs="Times New Roman"/>
          <w:bCs/>
          <w:color w:val="000000"/>
          <w:sz w:val="22"/>
          <w:szCs w:val="22"/>
          <w:lang w:val="en-GB"/>
        </w:rPr>
      </w:pPr>
      <w:r>
        <w:rPr>
          <w:rFonts w:ascii="Cambria" w:hAnsi="Cambria" w:eastAsia="DengXian" w:cs="Times New Roman"/>
          <w:sz w:val="22"/>
          <w:szCs w:val="22"/>
          <w:lang w:val="en-GB"/>
        </w:rPr>
        <w:t xml:space="preserve">Berdasarkan teori dan fakta peneliti berpendapat bahwa terdapat ketidaksesuan dikarena partisipan berumur 31 tahun, sedangkan diteori mengatakan bahwa yang rentan terjangkit gagal ginjal kronik diusia &gt; 60 tahun atau usia lanjut, sedangkan partisipan belum masuk di usia lanjut dan sudah terkena penyakit CKD dengan creatin 3,30. Partisipan mengatakan terkena penyakit CKD dikarena pola makan yang tidak baik dikarenakan </w:t>
      </w:r>
      <w:r>
        <w:rPr>
          <w:rFonts w:ascii="Cambria" w:hAnsi="Cambria" w:eastAsia="DengXian" w:cs="Times New Roman"/>
          <w:bCs/>
          <w:color w:val="000000"/>
          <w:sz w:val="22"/>
          <w:szCs w:val="22"/>
          <w:lang w:val="en-GB"/>
        </w:rPr>
        <w:t>partipan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mengatakan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bahwa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sehari-hari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mengkonsumsi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makanan</w:t>
      </w:r>
      <w:r>
        <w:rPr>
          <w:rFonts w:ascii="Cambria" w:hAnsi="Cambria" w:eastAsia="DengXian" w:cs="Times New Roman"/>
          <w:bCs/>
          <w:color w:val="000000"/>
          <w:sz w:val="22"/>
          <w:szCs w:val="22"/>
          <w:lang w:val="en-GB"/>
        </w:rPr>
        <w:t xml:space="preserve"> yang </w:t>
      </w:r>
      <w:r>
        <w:rPr>
          <w:rFonts w:ascii="Cambria" w:hAnsi="Cambria" w:eastAsia="DengXian" w:cs="Times New Roman"/>
          <w:bCs/>
          <w:color w:val="000000"/>
          <w:sz w:val="22"/>
          <w:szCs w:val="22"/>
          <w:lang w:val="en-GB"/>
        </w:rPr>
        <w:t>mengandung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tinggi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garam</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sering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minum</w:t>
      </w:r>
      <w:r>
        <w:rPr>
          <w:rFonts w:ascii="Cambria" w:hAnsi="Cambria" w:eastAsia="DengXian" w:cs="Times New Roman"/>
          <w:bCs/>
          <w:color w:val="000000"/>
          <w:sz w:val="22"/>
          <w:szCs w:val="22"/>
          <w:lang w:val="en-GB"/>
        </w:rPr>
        <w:t xml:space="preserve"> air yang </w:t>
      </w:r>
      <w:r>
        <w:rPr>
          <w:rFonts w:ascii="Cambria" w:hAnsi="Cambria" w:eastAsia="DengXian" w:cs="Times New Roman"/>
          <w:bCs/>
          <w:color w:val="000000"/>
          <w:sz w:val="22"/>
          <w:szCs w:val="22"/>
          <w:lang w:val="en-GB"/>
        </w:rPr>
        <w:t>mengandung</w:t>
      </w:r>
      <w:r>
        <w:rPr>
          <w:rFonts w:ascii="Cambria" w:hAnsi="Cambria" w:eastAsia="DengXian" w:cs="Times New Roman"/>
          <w:bCs/>
          <w:color w:val="000000"/>
          <w:sz w:val="22"/>
          <w:szCs w:val="22"/>
          <w:lang w:val="en-GB"/>
        </w:rPr>
        <w:t xml:space="preserve"> yang </w:t>
      </w:r>
      <w:r>
        <w:rPr>
          <w:rFonts w:ascii="Cambria" w:hAnsi="Cambria" w:eastAsia="DengXian" w:cs="Times New Roman"/>
          <w:bCs/>
          <w:color w:val="000000"/>
          <w:sz w:val="22"/>
          <w:szCs w:val="22"/>
          <w:lang w:val="en-GB"/>
        </w:rPr>
        <w:t>tinggi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gula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pengawat</w:t>
      </w:r>
    </w:p>
    <w:p>
      <w:pPr>
        <w:pStyle w:val="15"/>
      </w:pPr>
      <w:r>
        <w:t>Peneliti berpendapat penyebab dari gagal ginjal kronik pada pasien disebabkan partisipan sering mengkonsumsi makanan yang tinggi garam atau kalium dan sering memilih minuman yang tinggi gula dan pengawat, dikarenakan makanan tersebut dapat berkontribusi terhadap kerusakan ginjal.</w:t>
      </w:r>
    </w:p>
    <w:p>
      <w:pPr>
        <w:pStyle w:val="54"/>
        <w:numPr>
          <w:ilvl w:val="1"/>
          <w:numId w:val="1"/>
        </w:numPr>
        <w:spacing w:line="240" w:lineRule="auto"/>
        <w:ind w:left="567" w:hanging="283"/>
        <w:jc w:val="both"/>
        <w:rPr>
          <w:rFonts w:ascii="Cambria" w:hAnsi="Cambria" w:eastAsia="DengXian" w:cs="Times New Roman"/>
          <w:bCs/>
          <w:color w:val="000000"/>
          <w:sz w:val="22"/>
          <w:szCs w:val="22"/>
          <w:lang w:val="en-GB"/>
        </w:rPr>
      </w:pPr>
      <w:r>
        <w:rPr>
          <w:rFonts w:ascii="Cambria" w:hAnsi="Cambria" w:eastAsia="DengXian" w:cs="Times New Roman"/>
          <w:bCs/>
          <w:color w:val="000000"/>
          <w:sz w:val="22"/>
          <w:szCs w:val="22"/>
          <w:lang w:val="en-GB"/>
        </w:rPr>
        <w:t>Jenis</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Kelamin</w:t>
      </w:r>
    </w:p>
    <w:p>
      <w:pPr>
        <w:pStyle w:val="54"/>
        <w:spacing w:line="240" w:lineRule="auto"/>
        <w:ind w:left="567"/>
        <w:jc w:val="both"/>
        <w:rPr>
          <w:rFonts w:ascii="Cambria" w:hAnsi="Cambria" w:eastAsia="DengXian" w:cs="Times New Roman"/>
          <w:bCs/>
          <w:color w:val="000000"/>
          <w:sz w:val="22"/>
          <w:szCs w:val="22"/>
          <w:lang w:val="en-GB"/>
        </w:rPr>
      </w:pPr>
      <w:r>
        <w:rPr>
          <w:rFonts w:ascii="Cambria" w:hAnsi="Cambria" w:eastAsia="DengXian" w:cs="Times New Roman"/>
          <w:bCs/>
          <w:color w:val="000000"/>
          <w:sz w:val="22"/>
          <w:szCs w:val="22"/>
          <w:lang w:val="en-GB"/>
        </w:rPr>
        <w:t>Berdasarkan</w:t>
      </w:r>
      <w:r>
        <w:rPr>
          <w:rFonts w:ascii="Cambria" w:hAnsi="Cambria" w:eastAsia="DengXian" w:cs="Times New Roman"/>
          <w:bCs/>
          <w:color w:val="000000"/>
          <w:sz w:val="22"/>
          <w:szCs w:val="22"/>
          <w:lang w:val="en-GB"/>
        </w:rPr>
        <w:t xml:space="preserve"> data </w:t>
      </w:r>
      <w:r>
        <w:rPr>
          <w:rFonts w:ascii="Cambria" w:hAnsi="Cambria" w:eastAsia="DengXian" w:cs="Times New Roman"/>
          <w:bCs/>
          <w:color w:val="000000"/>
          <w:sz w:val="22"/>
          <w:szCs w:val="22"/>
          <w:lang w:val="en-GB"/>
        </w:rPr>
        <w:t>pengkajian</w:t>
      </w:r>
      <w:r>
        <w:rPr>
          <w:rFonts w:ascii="Cambria" w:hAnsi="Cambria" w:eastAsia="DengXian" w:cs="Times New Roman"/>
          <w:bCs/>
          <w:color w:val="000000"/>
          <w:sz w:val="22"/>
          <w:szCs w:val="22"/>
          <w:lang w:val="en-GB"/>
        </w:rPr>
        <w:t xml:space="preserve"> yang </w:t>
      </w:r>
      <w:r>
        <w:rPr>
          <w:rFonts w:ascii="Cambria" w:hAnsi="Cambria" w:eastAsia="DengXian" w:cs="Times New Roman"/>
          <w:bCs/>
          <w:color w:val="000000"/>
          <w:sz w:val="22"/>
          <w:szCs w:val="22"/>
          <w:lang w:val="en-GB"/>
        </w:rPr>
        <w:t>didapatkan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bahwa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Ny</w:t>
      </w:r>
      <w:r>
        <w:rPr>
          <w:rFonts w:ascii="Cambria" w:hAnsi="Cambria" w:eastAsia="DengXian" w:cs="Times New Roman"/>
          <w:bCs/>
          <w:color w:val="000000"/>
          <w:sz w:val="22"/>
          <w:szCs w:val="22"/>
          <w:lang w:val="en-GB"/>
        </w:rPr>
        <w:t xml:space="preserve">. L </w:t>
      </w:r>
      <w:r>
        <w:rPr>
          <w:rFonts w:ascii="Cambria" w:hAnsi="Cambria" w:eastAsia="DengXian" w:cs="Times New Roman"/>
          <w:bCs/>
          <w:color w:val="000000"/>
          <w:sz w:val="22"/>
          <w:szCs w:val="22"/>
          <w:lang w:val="en-GB"/>
        </w:rPr>
        <w:t>berjenis</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kelamin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perempuan</w:t>
      </w:r>
      <w:r>
        <w:rPr>
          <w:rFonts w:ascii="Cambria" w:hAnsi="Cambria" w:eastAsia="DengXian" w:cs="Times New Roman"/>
          <w:bCs/>
          <w:color w:val="000000"/>
          <w:sz w:val="22"/>
          <w:szCs w:val="22"/>
          <w:lang w:val="en-GB"/>
        </w:rPr>
        <w:t>.</w:t>
      </w:r>
    </w:p>
    <w:p>
      <w:pPr>
        <w:pStyle w:val="54"/>
        <w:spacing w:line="240" w:lineRule="auto"/>
        <w:ind w:left="567"/>
        <w:jc w:val="both"/>
        <w:rPr>
          <w:rFonts w:ascii="Cambria" w:hAnsi="Cambria" w:eastAsia="DengXian" w:cs="Times New Roman"/>
          <w:bCs/>
          <w:color w:val="000000"/>
          <w:sz w:val="22"/>
          <w:szCs w:val="22"/>
          <w:lang w:val="en-GB"/>
        </w:rPr>
      </w:pPr>
    </w:p>
    <w:p>
      <w:pPr>
        <w:pStyle w:val="54"/>
        <w:spacing w:line="240" w:lineRule="auto"/>
        <w:ind w:left="567"/>
        <w:jc w:val="both"/>
        <w:rPr>
          <w:rFonts w:ascii="Cambria" w:hAnsi="Cambria" w:eastAsia="DengXian" w:cs="Times New Roman"/>
          <w:bCs/>
          <w:color w:val="000000"/>
          <w:sz w:val="22"/>
          <w:szCs w:val="22"/>
          <w:lang w:val="en-GB"/>
        </w:rPr>
      </w:pPr>
      <w:r>
        <w:rPr>
          <w:rFonts w:ascii="Cambria" w:hAnsi="Cambria" w:eastAsia="DengXian" w:cs="Times New Roman"/>
          <w:bCs/>
          <w:color w:val="000000"/>
          <w:sz w:val="22"/>
          <w:szCs w:val="22"/>
          <w:lang w:val="en-GB"/>
        </w:rPr>
        <w:t>Secara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klinik</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laki-laki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mempunyai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resiko</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mengalami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gagal</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ginjal</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kronik</w:t>
      </w:r>
      <w:r>
        <w:rPr>
          <w:rFonts w:ascii="Cambria" w:hAnsi="Cambria" w:eastAsia="DengXian" w:cs="Times New Roman"/>
          <w:bCs/>
          <w:color w:val="000000"/>
          <w:sz w:val="22"/>
          <w:szCs w:val="22"/>
          <w:lang w:val="en-GB"/>
        </w:rPr>
        <w:t xml:space="preserve"> 2 kali </w:t>
      </w:r>
      <w:r>
        <w:rPr>
          <w:rFonts w:ascii="Cambria" w:hAnsi="Cambria" w:eastAsia="DengXian" w:cs="Times New Roman"/>
          <w:bCs/>
          <w:color w:val="000000"/>
          <w:sz w:val="22"/>
          <w:szCs w:val="22"/>
          <w:lang w:val="en-GB"/>
        </w:rPr>
        <w:t>lebih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besar</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dari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perempuan</w:t>
      </w:r>
      <w:r>
        <w:rPr>
          <w:rFonts w:ascii="Cambria" w:hAnsi="Cambria" w:eastAsia="DengXian" w:cs="Times New Roman"/>
          <w:bCs/>
          <w:color w:val="000000"/>
          <w:sz w:val="22"/>
          <w:szCs w:val="22"/>
          <w:lang w:val="en-GB"/>
        </w:rPr>
        <w:t xml:space="preserve">. Hal </w:t>
      </w:r>
      <w:r>
        <w:rPr>
          <w:rFonts w:ascii="Cambria" w:hAnsi="Cambria" w:eastAsia="DengXian" w:cs="Times New Roman"/>
          <w:bCs/>
          <w:color w:val="000000"/>
          <w:sz w:val="22"/>
          <w:szCs w:val="22"/>
          <w:lang w:val="en-GB"/>
        </w:rPr>
        <w:t>ini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dimungkinkan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karena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perempuan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lebih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memperhatikan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kesehatan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menjaga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pola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hidup</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sehat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dibandingkan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laki-laki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sehingga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laki-laki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lebih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mudah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terkena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gagal</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ginjal</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kronik</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dibandingkan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perempuan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Perempuan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lebih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patuh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dibandingkan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laki-laki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dalam</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menggunakan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obat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karena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perempuan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lebih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menjaga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diri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mereka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sendiri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serta</w:t>
      </w:r>
      <w:r>
        <w:rPr>
          <w:rFonts w:ascii="Cambria" w:hAnsi="Cambria" w:eastAsia="DengXian" w:cs="Times New Roman"/>
          <w:bCs/>
          <w:color w:val="000000"/>
          <w:sz w:val="22"/>
          <w:szCs w:val="22"/>
          <w:lang w:val="en-GB"/>
        </w:rPr>
        <w:t xml:space="preserve"> bias </w:t>
      </w:r>
      <w:r>
        <w:rPr>
          <w:rFonts w:ascii="Cambria" w:hAnsi="Cambria" w:eastAsia="DengXian" w:cs="Times New Roman"/>
          <w:bCs/>
          <w:color w:val="000000"/>
          <w:sz w:val="22"/>
          <w:szCs w:val="22"/>
          <w:lang w:val="en-GB"/>
        </w:rPr>
        <w:t>mengatur</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tentang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pemakain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obat</w:t>
      </w:r>
      <w:r>
        <w:rPr>
          <w:rFonts w:ascii="Cambria" w:hAnsi="Cambria" w:eastAsia="DengXian" w:cs="Times New Roman"/>
          <w:bCs/>
          <w:color w:val="000000"/>
          <w:sz w:val="22"/>
          <w:szCs w:val="22"/>
          <w:lang w:val="en-GB"/>
        </w:rPr>
        <w:t>. (Supadmi,2020)</w:t>
      </w:r>
    </w:p>
    <w:p>
      <w:pPr>
        <w:pStyle w:val="54"/>
        <w:spacing w:line="240" w:lineRule="auto"/>
        <w:ind w:left="567"/>
        <w:jc w:val="both"/>
        <w:rPr>
          <w:rFonts w:ascii="Cambria" w:hAnsi="Cambria" w:eastAsia="DengXian" w:cs="Times New Roman"/>
          <w:bCs/>
          <w:color w:val="000000"/>
          <w:sz w:val="22"/>
          <w:szCs w:val="22"/>
          <w:lang w:val="en-GB"/>
        </w:rPr>
      </w:pPr>
    </w:p>
    <w:p>
      <w:pPr>
        <w:pStyle w:val="54"/>
        <w:spacing w:line="240" w:lineRule="auto"/>
        <w:ind w:left="567"/>
        <w:jc w:val="both"/>
        <w:rPr>
          <w:rFonts w:ascii="Cambria" w:hAnsi="Cambria" w:eastAsia="DengXian" w:cs="Times New Roman"/>
          <w:bCs/>
          <w:color w:val="000000"/>
          <w:sz w:val="22"/>
          <w:szCs w:val="22"/>
          <w:lang w:val="en-GB"/>
        </w:rPr>
      </w:pPr>
      <w:r>
        <w:rPr>
          <w:rFonts w:ascii="Cambria" w:hAnsi="Cambria" w:eastAsia="DengXian" w:cs="Times New Roman"/>
          <w:bCs/>
          <w:color w:val="000000"/>
          <w:sz w:val="22"/>
          <w:szCs w:val="22"/>
          <w:lang w:val="en-GB"/>
        </w:rPr>
        <w:t>Berdasarkan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teori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fakta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terdapat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ketidaksesuain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karena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Ny</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 xml:space="preserve">L  </w:t>
      </w:r>
      <w:r>
        <w:rPr>
          <w:rFonts w:ascii="Cambria" w:hAnsi="Cambria" w:eastAsia="DengXian" w:cs="Times New Roman"/>
          <w:bCs/>
          <w:color w:val="000000"/>
          <w:sz w:val="22"/>
          <w:szCs w:val="22"/>
          <w:lang w:val="en-GB"/>
        </w:rPr>
        <w:t>berjenis</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kelamin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perempuan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dikarena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gaya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hidup</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partisipan</w:t>
      </w:r>
      <w:r>
        <w:rPr>
          <w:rFonts w:ascii="Cambria" w:hAnsi="Cambria" w:eastAsia="DengXian" w:cs="Times New Roman"/>
          <w:bCs/>
          <w:color w:val="000000"/>
          <w:sz w:val="22"/>
          <w:szCs w:val="22"/>
          <w:lang w:val="en-GB"/>
        </w:rPr>
        <w:t xml:space="preserve"> yang </w:t>
      </w:r>
      <w:r>
        <w:rPr>
          <w:rFonts w:ascii="Cambria" w:hAnsi="Cambria" w:eastAsia="DengXian" w:cs="Times New Roman"/>
          <w:bCs/>
          <w:color w:val="000000"/>
          <w:sz w:val="22"/>
          <w:szCs w:val="22"/>
          <w:lang w:val="en-GB"/>
        </w:rPr>
        <w:t>kurang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baik</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dikarenakan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partisipan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mengatakan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sering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mengkonsumsi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makanan</w:t>
      </w:r>
      <w:r>
        <w:rPr>
          <w:rFonts w:ascii="Cambria" w:hAnsi="Cambria" w:eastAsia="DengXian" w:cs="Times New Roman"/>
          <w:bCs/>
          <w:color w:val="000000"/>
          <w:sz w:val="22"/>
          <w:szCs w:val="22"/>
          <w:lang w:val="en-GB"/>
        </w:rPr>
        <w:t xml:space="preserve"> yang </w:t>
      </w:r>
      <w:r>
        <w:rPr>
          <w:rFonts w:ascii="Cambria" w:hAnsi="Cambria" w:eastAsia="DengXian" w:cs="Times New Roman"/>
          <w:bCs/>
          <w:color w:val="000000"/>
          <w:sz w:val="22"/>
          <w:szCs w:val="22"/>
          <w:lang w:val="en-GB"/>
        </w:rPr>
        <w:t>tinggi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garam</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lebih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sering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memilih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minuman</w:t>
      </w:r>
      <w:r>
        <w:rPr>
          <w:rFonts w:ascii="Cambria" w:hAnsi="Cambria" w:eastAsia="DengXian" w:cs="Times New Roman"/>
          <w:bCs/>
          <w:color w:val="000000"/>
          <w:sz w:val="22"/>
          <w:szCs w:val="22"/>
          <w:lang w:val="en-GB"/>
        </w:rPr>
        <w:t xml:space="preserve"> yang </w:t>
      </w:r>
      <w:r>
        <w:rPr>
          <w:rFonts w:ascii="Cambria" w:hAnsi="Cambria" w:eastAsia="DengXian" w:cs="Times New Roman"/>
          <w:bCs/>
          <w:color w:val="000000"/>
          <w:sz w:val="22"/>
          <w:szCs w:val="22"/>
          <w:lang w:val="en-GB"/>
        </w:rPr>
        <w:t>tinggi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gula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mengandung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pengawet</w:t>
      </w:r>
      <w:r>
        <w:rPr>
          <w:rFonts w:ascii="Cambria" w:hAnsi="Cambria" w:eastAsia="DengXian" w:cs="Times New Roman"/>
          <w:bCs/>
          <w:color w:val="000000"/>
          <w:sz w:val="22"/>
          <w:szCs w:val="22"/>
          <w:lang w:val="en-GB"/>
        </w:rPr>
        <w:t>.</w:t>
      </w:r>
    </w:p>
    <w:p>
      <w:pPr>
        <w:pStyle w:val="54"/>
        <w:numPr>
          <w:ilvl w:val="1"/>
          <w:numId w:val="1"/>
        </w:numPr>
        <w:spacing w:line="240" w:lineRule="auto"/>
        <w:ind w:left="567" w:hanging="283"/>
        <w:jc w:val="both"/>
        <w:rPr>
          <w:rFonts w:ascii="Cambria" w:hAnsi="Cambria" w:eastAsia="DengXian" w:cs="Times New Roman"/>
          <w:bCs/>
          <w:color w:val="000000"/>
          <w:sz w:val="22"/>
          <w:szCs w:val="22"/>
          <w:lang w:val="en-GB"/>
        </w:rPr>
      </w:pPr>
      <w:r>
        <w:rPr>
          <w:rFonts w:ascii="Cambria" w:hAnsi="Cambria" w:eastAsia="DengXian" w:cs="Times New Roman"/>
          <w:bCs/>
          <w:color w:val="000000"/>
          <w:sz w:val="22"/>
          <w:szCs w:val="22"/>
          <w:lang w:val="en-GB"/>
        </w:rPr>
        <w:t>Pendidikan</w:t>
      </w:r>
      <w:r>
        <w:rPr>
          <w:rFonts w:ascii="Cambria" w:hAnsi="Cambria" w:eastAsia="DengXian" w:cs="Times New Roman"/>
          <w:bCs/>
          <w:color w:val="000000"/>
          <w:sz w:val="22"/>
          <w:szCs w:val="22"/>
          <w:lang w:val="en-GB"/>
        </w:rPr>
        <w:t xml:space="preserve"> </w:t>
      </w:r>
    </w:p>
    <w:p>
      <w:pPr>
        <w:pStyle w:val="54"/>
        <w:spacing w:line="240" w:lineRule="auto"/>
        <w:ind w:left="567"/>
        <w:jc w:val="both"/>
        <w:rPr>
          <w:rFonts w:ascii="Cambria" w:hAnsi="Cambria" w:eastAsia="DengXian" w:cs="Times New Roman"/>
          <w:bCs/>
          <w:color w:val="000000"/>
          <w:sz w:val="22"/>
          <w:szCs w:val="22"/>
          <w:lang w:val="en-GB"/>
        </w:rPr>
      </w:pPr>
      <w:r>
        <w:rPr>
          <w:rFonts w:ascii="Cambria" w:hAnsi="Cambria" w:eastAsia="DengXian" w:cs="Times New Roman"/>
          <w:bCs/>
          <w:color w:val="000000"/>
          <w:sz w:val="22"/>
          <w:szCs w:val="22"/>
          <w:lang w:val="en-GB"/>
        </w:rPr>
        <w:t>Partisipan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berpendidikan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terakhir</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sekolah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menengah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pertama</w:t>
      </w:r>
      <w:r>
        <w:rPr>
          <w:rFonts w:ascii="Cambria" w:hAnsi="Cambria" w:eastAsia="DengXian" w:cs="Times New Roman"/>
          <w:bCs/>
          <w:color w:val="000000"/>
          <w:sz w:val="22"/>
          <w:szCs w:val="22"/>
          <w:lang w:val="en-GB"/>
        </w:rPr>
        <w:t xml:space="preserve"> (SMA) </w:t>
      </w:r>
      <w:r>
        <w:rPr>
          <w:rFonts w:ascii="Cambria" w:hAnsi="Cambria" w:eastAsia="DengXian" w:cs="Times New Roman"/>
          <w:bCs/>
          <w:color w:val="000000"/>
          <w:sz w:val="22"/>
          <w:szCs w:val="22"/>
          <w:lang w:val="en-GB"/>
        </w:rPr>
        <w:t>dan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pernah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berkuliah</w:t>
      </w:r>
      <w:r>
        <w:rPr>
          <w:rFonts w:ascii="Cambria" w:hAnsi="Cambria" w:eastAsia="DengXian" w:cs="Times New Roman"/>
          <w:bCs/>
          <w:color w:val="000000"/>
          <w:sz w:val="22"/>
          <w:szCs w:val="22"/>
          <w:lang w:val="en-GB"/>
        </w:rPr>
        <w:t xml:space="preserve"> di UB </w:t>
      </w:r>
      <w:r>
        <w:rPr>
          <w:rFonts w:ascii="Cambria" w:hAnsi="Cambria" w:eastAsia="DengXian" w:cs="Times New Roman"/>
          <w:bCs/>
          <w:color w:val="000000"/>
          <w:sz w:val="22"/>
          <w:szCs w:val="22"/>
          <w:lang w:val="en-GB"/>
        </w:rPr>
        <w:t>selama</w:t>
      </w:r>
      <w:r>
        <w:rPr>
          <w:rFonts w:ascii="Cambria" w:hAnsi="Cambria" w:eastAsia="DengXian" w:cs="Times New Roman"/>
          <w:bCs/>
          <w:color w:val="000000"/>
          <w:sz w:val="22"/>
          <w:szCs w:val="22"/>
          <w:lang w:val="en-GB"/>
        </w:rPr>
        <w:t xml:space="preserve"> 6 </w:t>
      </w:r>
      <w:r>
        <w:rPr>
          <w:rFonts w:ascii="Cambria" w:hAnsi="Cambria" w:eastAsia="DengXian" w:cs="Times New Roman"/>
          <w:bCs/>
          <w:color w:val="000000"/>
          <w:sz w:val="22"/>
          <w:szCs w:val="22"/>
          <w:lang w:val="en-GB"/>
        </w:rPr>
        <w:t>bulan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Menurut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teori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Azwar</w:t>
      </w:r>
      <w:r>
        <w:rPr>
          <w:rFonts w:ascii="Cambria" w:hAnsi="Cambria" w:eastAsia="DengXian" w:cs="Times New Roman"/>
          <w:bCs/>
          <w:color w:val="000000"/>
          <w:sz w:val="22"/>
          <w:szCs w:val="22"/>
          <w:lang w:val="en-GB"/>
        </w:rPr>
        <w:t xml:space="preserve"> A </w:t>
      </w:r>
      <w:r>
        <w:rPr>
          <w:rFonts w:ascii="Cambria" w:hAnsi="Cambria" w:eastAsia="DengXian" w:cs="Times New Roman"/>
          <w:bCs/>
          <w:color w:val="000000"/>
          <w:sz w:val="22"/>
          <w:szCs w:val="22"/>
          <w:lang w:val="en-GB"/>
        </w:rPr>
        <w:t>bahwa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semakin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tinggi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tingkat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pendidikan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seseorang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makin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mudah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menerima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informasi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sehingga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semakin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banyak</w:t>
      </w:r>
      <w:r>
        <w:rPr>
          <w:rFonts w:ascii="Cambria" w:hAnsi="Cambria" w:eastAsia="DengXian" w:cs="Times New Roman"/>
          <w:bCs/>
          <w:color w:val="000000"/>
          <w:sz w:val="22"/>
          <w:szCs w:val="22"/>
          <w:lang w:val="en-GB"/>
        </w:rPr>
        <w:t xml:space="preserve"> pula </w:t>
      </w:r>
      <w:r>
        <w:rPr>
          <w:rFonts w:ascii="Cambria" w:hAnsi="Cambria" w:eastAsia="DengXian" w:cs="Times New Roman"/>
          <w:bCs/>
          <w:color w:val="000000"/>
          <w:sz w:val="22"/>
          <w:szCs w:val="22"/>
          <w:lang w:val="en-GB"/>
        </w:rPr>
        <w:t>informasi</w:t>
      </w:r>
      <w:r>
        <w:rPr>
          <w:rFonts w:ascii="Cambria" w:hAnsi="Cambria" w:eastAsia="DengXian" w:cs="Times New Roman"/>
          <w:bCs/>
          <w:color w:val="000000"/>
          <w:sz w:val="22"/>
          <w:szCs w:val="22"/>
          <w:lang w:val="en-GB"/>
        </w:rPr>
        <w:t xml:space="preserve"> yang </w:t>
      </w:r>
      <w:r>
        <w:rPr>
          <w:rFonts w:ascii="Cambria" w:hAnsi="Cambria" w:eastAsia="DengXian" w:cs="Times New Roman"/>
          <w:bCs/>
          <w:color w:val="000000"/>
          <w:sz w:val="22"/>
          <w:szCs w:val="22"/>
          <w:lang w:val="en-GB"/>
        </w:rPr>
        <w:t>dimiliki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sebaliknya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rendahnya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pengetahuan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seseorang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menyebabkan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pengetahuan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tentang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gagal</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ginjal</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kronik</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kurang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salah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satunya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kurang</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paham</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tentang</w:t>
      </w:r>
      <w:r>
        <w:rPr>
          <w:rFonts w:ascii="Cambria" w:hAnsi="Cambria" w:eastAsia="DengXian" w:cs="Times New Roman"/>
          <w:bCs/>
          <w:color w:val="000000"/>
          <w:sz w:val="22"/>
          <w:szCs w:val="22"/>
          <w:lang w:val="en-GB"/>
        </w:rPr>
        <w:t xml:space="preserve"> factor </w:t>
      </w:r>
      <w:r>
        <w:rPr>
          <w:rFonts w:ascii="Cambria" w:hAnsi="Cambria" w:eastAsia="DengXian" w:cs="Times New Roman"/>
          <w:bCs/>
          <w:color w:val="000000"/>
          <w:sz w:val="22"/>
          <w:szCs w:val="22"/>
          <w:lang w:val="en-GB"/>
        </w:rPr>
        <w:t>resiko</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terjadinya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gagal</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ginjal</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kronik</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sehingga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penyakit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tersebut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tidak</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dapat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dicegah</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 Dwi</w:t>
      </w:r>
      <w:r>
        <w:rPr>
          <w:rFonts w:ascii="Cambria" w:hAnsi="Cambria" w:eastAsia="DengXian" w:cs="Times New Roman"/>
          <w:bCs/>
          <w:color w:val="000000"/>
          <w:sz w:val="22"/>
          <w:szCs w:val="22"/>
          <w:lang w:val="en-GB"/>
        </w:rPr>
        <w:t>,2022)</w:t>
      </w:r>
    </w:p>
    <w:p>
      <w:pPr>
        <w:pStyle w:val="54"/>
        <w:spacing w:line="240" w:lineRule="auto"/>
        <w:ind w:left="567"/>
        <w:jc w:val="both"/>
        <w:rPr>
          <w:rFonts w:ascii="Cambria" w:hAnsi="Cambria" w:eastAsia="DengXian" w:cs="Times New Roman"/>
          <w:bCs/>
          <w:color w:val="000000"/>
          <w:sz w:val="22"/>
          <w:szCs w:val="22"/>
          <w:lang w:val="en-GB"/>
        </w:rPr>
      </w:pPr>
      <w:r>
        <w:rPr>
          <w:rFonts w:ascii="Cambria" w:hAnsi="Cambria" w:eastAsia="DengXian" w:cs="Times New Roman"/>
          <w:bCs/>
          <w:color w:val="000000"/>
          <w:sz w:val="22"/>
          <w:szCs w:val="22"/>
          <w:lang w:val="en-GB"/>
        </w:rPr>
        <w:t>Berdasarkan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teori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fakta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terdapat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kesenjangan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dikarenakan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partisipan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termasuk</w:t>
      </w:r>
      <w:r>
        <w:rPr>
          <w:rFonts w:ascii="Cambria" w:hAnsi="Cambria" w:eastAsia="DengXian" w:cs="Times New Roman"/>
          <w:bCs/>
          <w:color w:val="000000"/>
          <w:sz w:val="22"/>
          <w:szCs w:val="22"/>
          <w:lang w:val="en-GB"/>
        </w:rPr>
        <w:t xml:space="preserve"> orang yang </w:t>
      </w:r>
      <w:r>
        <w:rPr>
          <w:rFonts w:ascii="Cambria" w:hAnsi="Cambria" w:eastAsia="DengXian" w:cs="Times New Roman"/>
          <w:bCs/>
          <w:color w:val="000000"/>
          <w:sz w:val="22"/>
          <w:szCs w:val="22"/>
          <w:lang w:val="en-GB"/>
        </w:rPr>
        <w:t>berpendidikan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tinggi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tetapi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partisipan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terjangkit</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penyakit</w:t>
      </w:r>
      <w:r>
        <w:rPr>
          <w:rFonts w:ascii="Cambria" w:hAnsi="Cambria" w:eastAsia="DengXian" w:cs="Times New Roman"/>
          <w:bCs/>
          <w:color w:val="000000"/>
          <w:sz w:val="22"/>
          <w:szCs w:val="22"/>
          <w:lang w:val="en-GB"/>
        </w:rPr>
        <w:t xml:space="preserve"> CKD. </w:t>
      </w:r>
      <w:r>
        <w:rPr>
          <w:rFonts w:ascii="Cambria" w:hAnsi="Cambria" w:eastAsia="DengXian" w:cs="Times New Roman"/>
          <w:bCs/>
          <w:color w:val="000000"/>
          <w:sz w:val="22"/>
          <w:szCs w:val="22"/>
          <w:lang w:val="en-GB"/>
        </w:rPr>
        <w:t>Dikarenakan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partisipan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tidak</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peduli</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dengan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gaya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hidup</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dan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pola</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makan</w:t>
      </w:r>
      <w:r>
        <w:rPr>
          <w:rFonts w:ascii="Cambria" w:hAnsi="Cambria" w:eastAsia="DengXian" w:cs="Times New Roman"/>
          <w:bCs/>
          <w:color w:val="000000"/>
          <w:sz w:val="22"/>
          <w:szCs w:val="22"/>
          <w:lang w:val="en-GB"/>
        </w:rPr>
        <w:t xml:space="preserve"> </w:t>
      </w:r>
      <w:r>
        <w:rPr>
          <w:rFonts w:ascii="Cambria" w:hAnsi="Cambria" w:eastAsia="DengXian" w:cs="Times New Roman"/>
          <w:bCs/>
          <w:color w:val="000000"/>
          <w:sz w:val="22"/>
          <w:szCs w:val="22"/>
          <w:lang w:val="en-GB"/>
        </w:rPr>
        <w:t>sehari-hari</w:t>
      </w:r>
      <w:r>
        <w:rPr>
          <w:rFonts w:ascii="Cambria" w:hAnsi="Cambria" w:eastAsia="DengXian" w:cs="Times New Roman"/>
          <w:bCs/>
          <w:color w:val="000000"/>
          <w:sz w:val="22"/>
          <w:szCs w:val="22"/>
          <w:lang w:val="en-GB"/>
        </w:rPr>
        <w:t>.</w:t>
      </w:r>
    </w:p>
    <w:p>
      <w:pPr>
        <w:pStyle w:val="54"/>
        <w:spacing w:after="0" w:line="240" w:lineRule="auto"/>
        <w:ind w:left="567"/>
        <w:jc w:val="both"/>
        <w:rPr>
          <w:rFonts w:ascii="Cambria" w:hAnsi="Cambria" w:eastAsia="Cambria" w:cs="Cambria"/>
          <w:color w:val="000000"/>
          <w:sz w:val="22"/>
          <w:szCs w:val="22"/>
          <w:lang w:val="en-GB"/>
        </w:rPr>
      </w:pPr>
    </w:p>
    <w:p>
      <w:pPr>
        <w:numPr>
          <w:ilvl w:val="0"/>
          <w:numId w:val="1"/>
        </w:num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D</w:t>
      </w:r>
      <w:r>
        <w:rPr>
          <w:rFonts w:ascii="Cambria" w:hAnsi="Cambria" w:eastAsia="Cambria" w:cs="Cambria"/>
          <w:color w:val="000000"/>
          <w:sz w:val="22"/>
          <w:szCs w:val="22"/>
        </w:rPr>
        <w:t xml:space="preserve">iagnosis </w:t>
      </w: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Data subjektif dari penelitian adalah partisipan mengatakan mual muntah , merasa lemas , dan merasa sesak jika melakukan aktivitas berlebih , sehingga partisipan tidak mampu melakukan aktivitas yang berat.</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Data objektif partisipan tampak lemas dan terlihat sesak napas dangkal, partisipan  didapatin menggunakan oksigen dikarenakan sesak, pernapasan irregular ,dan didapatkan dari penilaian instrument penilaian intoleransi asktivitas bahwa didapatkan partisipan mengalami intoleransi aktivitas sendang dengan skor 22, hasil laboratorium : Hemoglobin 4,9 , Tanda-tanda vital :GCS E4V5M6, TD 140/90, S 36,5, SPO2 96% , N 96x/menit, dan RR 31x/ menit . Masalah keperawatan yang muncul pada Ny. L berdasarkan pengkajian data subyektif dan objektif yaitu intoleransi aktivitas.</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Sesuai dengan teori pada SDKI bahwa diagnose intolerensi aktivitas di tegakkan karena adanya data subyektif : partisipan mengatakan merasa lemas dan merasa sesak.data obyektif : partisipan tampak sesak dan lemas,pernapasan irregular (SDKI,  2018)</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rPr>
        <w:t>Berdasarkan data dan teori mengenai masalah keperawatan utama yang ditegakkan peneliti tidak didapatkan kesenjangan dimana konsep asuhan keperawatan menyebutkan pada partisipan gagal ginjal kronik dapat muncul masalah keperawatan intoleransi aktivitas berhubungan dengan ketidakseimbangan suplai oksigen .</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Intoleransi aktifitas ditandai dengan kelelahan yang ekstrim. Merasa sangat lelah atau tidak bertenaga meskipun sudah beristirahat cukup. Kelelahan ini tidak membaik dengan tidur dan dapat memengaruhi kemampuan untuk memulai atau melanjutkan aktivitas. Tanda-tanda yang mengarah kepada intoleransi aktivitas juga dirasakan oleh pasien.</w:t>
      </w:r>
    </w:p>
    <w:p>
      <w:pPr>
        <w:numPr>
          <w:ilvl w:val="0"/>
          <w:numId w:val="1"/>
        </w:num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I</w:t>
      </w:r>
      <w:r>
        <w:rPr>
          <w:rFonts w:ascii="Cambria" w:hAnsi="Cambria" w:eastAsia="Cambria" w:cs="Cambria"/>
          <w:color w:val="000000"/>
          <w:sz w:val="22"/>
          <w:szCs w:val="22"/>
        </w:rPr>
        <w:t xml:space="preserve">ntervensi </w:t>
      </w:r>
    </w:p>
    <w:p>
      <w:pPr>
        <w:pStyle w:val="54"/>
        <w:spacing w:after="0" w:line="240" w:lineRule="auto"/>
        <w:ind w:left="284"/>
        <w:jc w:val="both"/>
        <w:rPr>
          <w:rFonts w:ascii="Cambria" w:hAnsi="Cambria" w:eastAsia="DengXian" w:cs="Times New Roman"/>
          <w:sz w:val="22"/>
          <w:szCs w:val="22"/>
          <w:lang w:val="en-GB"/>
        </w:rPr>
      </w:pPr>
      <w:r>
        <w:rPr>
          <w:rFonts w:ascii="Cambria" w:hAnsi="Cambria" w:eastAsia="DengXian" w:cs="Times New Roman"/>
          <w:sz w:val="22"/>
          <w:szCs w:val="22"/>
          <w:lang w:val="en-GB"/>
        </w:rPr>
        <w:t>Berdasarkan diagnose keperawatan yang muncul, peneliti memutuskan untuk merencanakan tindakan keperawatan dalam mengatasi masalah intoleransi aktivitas yang berhubungan dengan ketidakseimbangan antara suplai dan kebutuhan oksigen. Peneliti berencana memberikan intervensi keperawatan untuk mengatasi intoleransi aktivitas sesuai SIKI yaitu manajemen energi (I. 05178), dan terapi ROM aktif . Manajemen Energi yang akan dilakukan yaitu identifikasi gangguan fungsi tubuh yang mengakibatkan kelelahan, monitor kelelahan fisik dan emosional, monitor pola dan jam tidur, sediakan lingkungan yang nyaman dan rendah stimulus,  latihan rentang gerak ROM aktif, aktivitas distraksi yang menenangkan.</w:t>
      </w:r>
    </w:p>
    <w:p>
      <w:pPr>
        <w:pStyle w:val="54"/>
        <w:spacing w:after="0" w:line="240" w:lineRule="auto"/>
        <w:ind w:left="284"/>
        <w:jc w:val="both"/>
        <w:rPr>
          <w:rFonts w:ascii="Cambria" w:hAnsi="Cambria" w:eastAsia="DengXian" w:cs="Times New Roman"/>
          <w:sz w:val="22"/>
          <w:szCs w:val="22"/>
          <w:lang w:val="en-GB"/>
        </w:rPr>
      </w:pPr>
    </w:p>
    <w:p>
      <w:pPr>
        <w:pStyle w:val="54"/>
        <w:spacing w:line="240" w:lineRule="auto"/>
        <w:ind w:left="284"/>
        <w:jc w:val="both"/>
        <w:rPr>
          <w:rFonts w:ascii="Cambria" w:hAnsi="Cambria" w:eastAsia="DengXian" w:cs="Times New Roman"/>
          <w:sz w:val="22"/>
          <w:szCs w:val="22"/>
          <w:lang w:val="en-GB"/>
        </w:rPr>
      </w:pPr>
      <w:r>
        <w:rPr>
          <w:rFonts w:ascii="Cambria" w:hAnsi="Cambria" w:eastAsia="DengXian" w:cs="Times New Roman"/>
          <w:sz w:val="22"/>
          <w:szCs w:val="22"/>
          <w:lang w:val="en-GB"/>
        </w:rPr>
        <w:t>Teori dalam SIKI menyebutkan bahwa intervensi yang dapat digunakan untuk masalah keperawatan intoleransi aktivitas yaitu manajemen energi (.05178). (PPNI.T.P, 2018) Berdasarkan teori dan fakta tersebut, terdapat kesesuain antara fakta dan teori. Untuk mencapai tujuan yang dinginkan, peneliti akan memberikan asuhan keperawatan berdasarkan SIKI yaitu manajemen energi. Dengan terapi managemen energi akan dapat meningkatkan toleransi aktivitas. Energi yang dimiliki oleh pasien akan dimanfaatkan dengan cermat, sehingga energi yang ada tidak terbuang sia-sia.</w:t>
      </w:r>
    </w:p>
    <w:p>
      <w:pPr>
        <w:pStyle w:val="54"/>
        <w:spacing w:line="240" w:lineRule="auto"/>
        <w:ind w:left="284"/>
        <w:jc w:val="both"/>
        <w:rPr>
          <w:rFonts w:ascii="Cambria" w:hAnsi="Cambria" w:eastAsia="DengXian" w:cs="Times New Roman"/>
          <w:sz w:val="22"/>
          <w:szCs w:val="22"/>
          <w:lang w:val="en-GB"/>
        </w:rPr>
      </w:pPr>
    </w:p>
    <w:p>
      <w:pPr>
        <w:pStyle w:val="54"/>
        <w:spacing w:line="240" w:lineRule="auto"/>
        <w:ind w:left="284"/>
        <w:jc w:val="both"/>
        <w:rPr>
          <w:rFonts w:ascii="Cambria" w:hAnsi="Cambria" w:eastAsia="DengXian" w:cs="Times New Roman"/>
          <w:sz w:val="22"/>
          <w:szCs w:val="22"/>
          <w:lang w:val="en-GB"/>
        </w:rPr>
      </w:pPr>
      <w:r>
        <w:rPr>
          <w:rFonts w:ascii="Cambria" w:hAnsi="Cambria" w:eastAsia="DengXian" w:cs="Times New Roman"/>
          <w:sz w:val="22"/>
          <w:szCs w:val="22"/>
          <w:lang w:val="en-GB"/>
        </w:rPr>
        <w:t>Manejemen energi yang di gunakan adalah identifikasi gangguan fungsi tubuh yang mengakibatkan kelelahan. Aktifitas yang menyebabkan pasien mengalami kelelahan harus di kurangi, sehingga tidak menyebabkan kehabisan energi.</w:t>
      </w:r>
    </w:p>
    <w:p>
      <w:pPr>
        <w:spacing w:after="0" w:line="240" w:lineRule="auto"/>
        <w:ind w:left="360"/>
        <w:jc w:val="both"/>
        <w:rPr>
          <w:rFonts w:ascii="Cambria" w:hAnsi="Cambria" w:eastAsia="Cambria" w:cs="Cambria"/>
          <w:color w:val="000000"/>
          <w:sz w:val="22"/>
          <w:szCs w:val="22"/>
        </w:rPr>
      </w:pPr>
    </w:p>
    <w:p>
      <w:pPr>
        <w:numPr>
          <w:ilvl w:val="0"/>
          <w:numId w:val="1"/>
        </w:num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 xml:space="preserve">Implementasi </w:t>
      </w:r>
    </w:p>
    <w:p>
      <w:pPr>
        <w:spacing w:after="0" w:line="240" w:lineRule="auto"/>
        <w:ind w:left="360"/>
        <w:jc w:val="both"/>
        <w:rPr>
          <w:rFonts w:ascii="Cambria" w:hAnsi="Cambria" w:eastAsia="Cambria" w:cs="Cambria"/>
          <w:color w:val="000000"/>
          <w:sz w:val="22"/>
          <w:szCs w:val="22"/>
          <w:lang w:val="en-GB"/>
        </w:rPr>
      </w:pPr>
      <w:r>
        <w:rPr>
          <w:rFonts w:ascii="Cambria" w:hAnsi="Cambria" w:eastAsia="Cambria" w:cs="Cambria"/>
          <w:color w:val="000000"/>
          <w:sz w:val="22"/>
          <w:szCs w:val="22"/>
        </w:rPr>
        <w:t xml:space="preserve">Implementasi yang diberikan kepada klien berfokusan pada </w:t>
      </w:r>
      <w:r>
        <w:rPr>
          <w:rFonts w:ascii="Cambria" w:hAnsi="Cambria" w:eastAsia="Cambria" w:cs="Cambria"/>
          <w:color w:val="000000"/>
          <w:sz w:val="22"/>
          <w:szCs w:val="22"/>
          <w:lang w:val="en-GB"/>
        </w:rPr>
        <w:t>Manajemen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Energi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dan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rPr>
        <w:t xml:space="preserve">latihan </w:t>
      </w:r>
      <w:r>
        <w:rPr>
          <w:rFonts w:ascii="Cambria" w:hAnsi="Cambria" w:eastAsia="Cambria" w:cs="Cambria"/>
          <w:i/>
          <w:color w:val="000000"/>
          <w:sz w:val="22"/>
          <w:szCs w:val="22"/>
        </w:rPr>
        <w:t xml:space="preserve">Range of Motion </w:t>
      </w:r>
      <w:r>
        <w:rPr>
          <w:rFonts w:ascii="Cambria" w:hAnsi="Cambria" w:eastAsia="Cambria" w:cs="Cambria"/>
          <w:color w:val="000000"/>
          <w:sz w:val="22"/>
          <w:szCs w:val="22"/>
        </w:rPr>
        <w:t>(ROM)</w:t>
      </w:r>
      <w:r>
        <w:rPr>
          <w:rFonts w:ascii="Cambria" w:hAnsi="Cambria" w:eastAsia="Cambria" w:cs="Cambria"/>
          <w:color w:val="000000"/>
          <w:sz w:val="22"/>
          <w:szCs w:val="22"/>
        </w:rPr>
        <w:t>.</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Majemen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terbukti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signifikan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dapat</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meningkatkan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toleransi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aktivitas</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pada</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pasien</w:t>
      </w:r>
      <w:r>
        <w:rPr>
          <w:rFonts w:ascii="Cambria" w:hAnsi="Cambria" w:eastAsia="Cambria" w:cs="Cambria"/>
          <w:color w:val="000000"/>
          <w:sz w:val="22"/>
          <w:szCs w:val="22"/>
          <w:lang w:val="en-GB"/>
        </w:rPr>
        <w:t xml:space="preserve"> CKD </w:t>
      </w:r>
      <w:r>
        <w:rPr>
          <w:rFonts w:ascii="Cambria" w:hAnsi="Cambria" w:eastAsia="Cambria" w:cs="Cambria"/>
          <w:color w:val="000000"/>
          <w:sz w:val="22"/>
          <w:szCs w:val="22"/>
          <w:lang w:val="en-GB"/>
        </w:rPr>
        <w:t>dengan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masalah</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intoleransi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aktivitas</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Berdasarkan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teori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menurut</w:t>
      </w:r>
      <w:r>
        <w:rPr>
          <w:rFonts w:ascii="Cambria" w:hAnsi="Cambria" w:eastAsia="Cambria" w:cs="Cambria"/>
          <w:color w:val="000000"/>
          <w:sz w:val="22"/>
          <w:szCs w:val="22"/>
          <w:lang w:val="en-GB"/>
        </w:rPr>
        <w:t xml:space="preserve"> SIKI (2018) diagnose </w:t>
      </w:r>
      <w:r>
        <w:rPr>
          <w:rFonts w:ascii="Cambria" w:hAnsi="Cambria" w:eastAsia="Cambria" w:cs="Cambria"/>
          <w:color w:val="000000"/>
          <w:sz w:val="22"/>
          <w:szCs w:val="22"/>
          <w:lang w:val="en-GB"/>
        </w:rPr>
        <w:t>pada</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masalah</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keperawatan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intoleransi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aktivitas</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adalah</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keadaan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ketidakcukupan</w:t>
      </w:r>
      <w:r>
        <w:rPr>
          <w:rFonts w:ascii="Cambria" w:hAnsi="Cambria" w:eastAsia="Cambria" w:cs="Cambria"/>
          <w:color w:val="000000"/>
          <w:sz w:val="22"/>
          <w:szCs w:val="22"/>
          <w:lang w:val="en-GB"/>
        </w:rPr>
        <w:t xml:space="preserve"> energy </w:t>
      </w:r>
      <w:r>
        <w:rPr>
          <w:rFonts w:ascii="Cambria" w:hAnsi="Cambria" w:eastAsia="Cambria" w:cs="Cambria"/>
          <w:color w:val="000000"/>
          <w:sz w:val="22"/>
          <w:szCs w:val="22"/>
          <w:lang w:val="en-GB"/>
        </w:rPr>
        <w:t>untuk</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melakukan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aktivitas</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sehari-hari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dan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diberikan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intervensi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salah</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satunya</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yaitu</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memonitor</w:t>
      </w:r>
      <w:r>
        <w:rPr>
          <w:rFonts w:ascii="Cambria" w:hAnsi="Cambria" w:eastAsia="Cambria" w:cs="Cambria"/>
          <w:color w:val="000000"/>
          <w:sz w:val="22"/>
          <w:szCs w:val="22"/>
          <w:lang w:val="en-GB"/>
        </w:rPr>
        <w:t xml:space="preserve"> RR </w:t>
      </w:r>
      <w:r>
        <w:rPr>
          <w:rFonts w:ascii="Cambria" w:hAnsi="Cambria" w:eastAsia="Cambria" w:cs="Cambria"/>
          <w:color w:val="000000"/>
          <w:sz w:val="22"/>
          <w:szCs w:val="22"/>
          <w:lang w:val="en-GB"/>
        </w:rPr>
        <w:t>untuk</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mengetahui</w:t>
      </w:r>
      <w:r>
        <w:rPr>
          <w:rFonts w:ascii="Cambria" w:hAnsi="Cambria" w:eastAsia="Cambria" w:cs="Cambria"/>
          <w:color w:val="000000"/>
          <w:sz w:val="22"/>
          <w:szCs w:val="22"/>
          <w:lang w:val="en-GB"/>
        </w:rPr>
        <w:t xml:space="preserve"> RR </w:t>
      </w:r>
      <w:r>
        <w:rPr>
          <w:rFonts w:ascii="Cambria" w:hAnsi="Cambria" w:eastAsia="Cambria" w:cs="Cambria"/>
          <w:color w:val="000000"/>
          <w:sz w:val="22"/>
          <w:szCs w:val="22"/>
          <w:lang w:val="en-GB"/>
        </w:rPr>
        <w:t>partispan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dalam</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batas</w:t>
      </w:r>
      <w:r>
        <w:rPr>
          <w:rFonts w:ascii="Cambria" w:hAnsi="Cambria" w:eastAsia="Cambria" w:cs="Cambria"/>
          <w:color w:val="000000"/>
          <w:sz w:val="22"/>
          <w:szCs w:val="22"/>
          <w:lang w:val="en-GB"/>
        </w:rPr>
        <w:t xml:space="preserve"> normal, </w:t>
      </w:r>
      <w:r>
        <w:rPr>
          <w:rFonts w:ascii="Cambria" w:hAnsi="Cambria" w:eastAsia="Cambria" w:cs="Cambria"/>
          <w:color w:val="000000"/>
          <w:sz w:val="22"/>
          <w:szCs w:val="22"/>
          <w:lang w:val="en-GB"/>
        </w:rPr>
        <w:t>dan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untuk</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intervensi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lainnya</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bertujuan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mengidentifikasi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dan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mengelola</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penggunaan</w:t>
      </w:r>
      <w:r>
        <w:rPr>
          <w:rFonts w:ascii="Cambria" w:hAnsi="Cambria" w:eastAsia="Cambria" w:cs="Cambria"/>
          <w:color w:val="000000"/>
          <w:sz w:val="22"/>
          <w:szCs w:val="22"/>
          <w:lang w:val="en-GB"/>
        </w:rPr>
        <w:t xml:space="preserve"> energy </w:t>
      </w:r>
      <w:r>
        <w:rPr>
          <w:rFonts w:ascii="Cambria" w:hAnsi="Cambria" w:eastAsia="Cambria" w:cs="Cambria"/>
          <w:color w:val="000000"/>
          <w:sz w:val="22"/>
          <w:szCs w:val="22"/>
          <w:lang w:val="en-GB"/>
        </w:rPr>
        <w:t>untuk</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mengatasi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atau</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mencegah</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kelelahan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dan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mengoptimalkan</w:t>
      </w:r>
      <w:r>
        <w:rPr>
          <w:rFonts w:ascii="Cambria" w:hAnsi="Cambria" w:eastAsia="Cambria" w:cs="Cambria"/>
          <w:color w:val="000000"/>
          <w:sz w:val="22"/>
          <w:szCs w:val="22"/>
          <w:lang w:val="en-GB"/>
        </w:rPr>
        <w:t xml:space="preserve"> proses </w:t>
      </w:r>
      <w:r>
        <w:rPr>
          <w:rFonts w:ascii="Cambria" w:hAnsi="Cambria" w:eastAsia="Cambria" w:cs="Cambria"/>
          <w:color w:val="000000"/>
          <w:sz w:val="22"/>
          <w:szCs w:val="22"/>
          <w:lang w:val="en-GB"/>
        </w:rPr>
        <w:t>pemulihan</w:t>
      </w:r>
      <w:r>
        <w:rPr>
          <w:rFonts w:ascii="Cambria" w:hAnsi="Cambria" w:eastAsia="Cambria" w:cs="Cambria"/>
          <w:color w:val="000000"/>
          <w:sz w:val="22"/>
          <w:szCs w:val="22"/>
          <w:lang w:val="en-GB"/>
        </w:rPr>
        <w:t xml:space="preserve"> . (SIKI,2018)</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 xml:space="preserve"> Latihan rentang gerak (ROM) terbukti signifikan meningkatkan</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toleransi</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aktivitas</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pada</w:t>
      </w:r>
      <w:r>
        <w:rPr>
          <w:rFonts w:ascii="Cambria" w:hAnsi="Cambria" w:eastAsia="Cambria" w:cs="Cambria"/>
          <w:color w:val="000000"/>
          <w:sz w:val="22"/>
          <w:szCs w:val="22"/>
          <w:lang w:val="en-GB"/>
        </w:rPr>
        <w:t xml:space="preserve"> </w:t>
      </w:r>
      <w:r>
        <w:rPr>
          <w:rFonts w:ascii="Cambria" w:hAnsi="Cambria" w:eastAsia="Cambria" w:cs="Cambria"/>
          <w:color w:val="000000"/>
          <w:sz w:val="22"/>
          <w:szCs w:val="22"/>
          <w:lang w:val="en-GB"/>
        </w:rPr>
        <w:t>pasien</w:t>
      </w:r>
      <w:r>
        <w:rPr>
          <w:rFonts w:ascii="Cambria" w:hAnsi="Cambria" w:eastAsia="Cambria" w:cs="Cambria"/>
          <w:color w:val="000000"/>
          <w:sz w:val="22"/>
          <w:szCs w:val="22"/>
          <w:lang w:val="en-GB"/>
        </w:rPr>
        <w:t xml:space="preserve"> CKD</w:t>
      </w:r>
      <w:r>
        <w:rPr>
          <w:rFonts w:ascii="Cambria" w:hAnsi="Cambria" w:eastAsia="Cambria" w:cs="Cambria"/>
          <w:color w:val="000000"/>
          <w:sz w:val="22"/>
          <w:szCs w:val="22"/>
        </w:rPr>
        <w:t xml:space="preserve">. </w:t>
      </w:r>
      <w:r>
        <w:rPr>
          <w:rFonts w:ascii="Cambria" w:hAnsi="Cambria" w:eastAsia="Cambria" w:cs="Cambria"/>
          <w:color w:val="000000"/>
          <w:sz w:val="22"/>
          <w:szCs w:val="22"/>
          <w:lang w:val="en-GB"/>
        </w:rPr>
        <w:t>M</w:t>
      </w:r>
      <w:r>
        <w:rPr>
          <w:rFonts w:ascii="Cambria" w:hAnsi="Cambria" w:eastAsia="Cambria" w:cs="Cambria"/>
          <w:color w:val="000000"/>
          <w:sz w:val="22"/>
          <w:szCs w:val="22"/>
        </w:rPr>
        <w:t xml:space="preserve">anfaat ROM yaitu mempertahankan fungsi tubuh dan mencegah kemunduran serta mengembalikan rentak gerak aktivitas tertentu sehingga penderita dapat kembali normal atau setidak-tidaknya dapat memenuhi kebutuhan sehari-hari, memperlancar peredaran darah, membantu </w:t>
      </w:r>
      <w:r>
        <w:rPr>
          <w:rFonts w:ascii="Cambria" w:hAnsi="Cambria" w:eastAsia="Cambria" w:cs="Cambria"/>
          <w:color w:val="000000"/>
          <w:sz w:val="22"/>
          <w:szCs w:val="22"/>
        </w:rPr>
        <w:t>pernapasan  menjadi</w:t>
      </w:r>
      <w:r>
        <w:rPr>
          <w:rFonts w:ascii="Cambria" w:hAnsi="Cambria" w:eastAsia="Cambria" w:cs="Cambria"/>
          <w:color w:val="000000"/>
          <w:sz w:val="22"/>
          <w:szCs w:val="22"/>
        </w:rPr>
        <w:t xml:space="preserve"> lebih kuat dan  mempertahankan tonus otot, memelihara, dan meningkatkan  pergerakan dari persendian. (Mubarok ,2015).</w:t>
      </w:r>
    </w:p>
    <w:p>
      <w:pPr>
        <w:numPr>
          <w:ilvl w:val="0"/>
          <w:numId w:val="1"/>
        </w:num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 xml:space="preserve">Evaluasi </w:t>
      </w: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 xml:space="preserve">Hasil evaluasi didapat dari hari ke 1 sampai 6 yaitu, didapatkan pada hari ke-1 yaitu partisipan  dengan toleransi aktivitas sedang dengan skor 22, hari ke-2 didapatkan toleransi pada partisipan dengan toleransi aktivitas sedang dengan skor 22, hari ke- 3 didapatkan toleransi aktivitas sedang pada partisipan dengan skor 24 , hari ke-4 didapatkan toleransi aktivitas sedang dengan skor 24, hari ke-5 didapatkan toleransi aktivitas sedang dengan skor 26, dan hari ke-6 didapatkan toleransi aktivitas baik dengan skor 27. </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Menurut teori  evaluasi adalah tahap akhir dari proses keperawatan. Evaluasi dilakukan dilakukan pada hari terakhir setelah melaksanakan tindakan keperawatan selama waktu yang sudah ditentukan. Dari hasil studi kasus didapatkan hasil evaluasi setelah 6x 24 jam yaitu toleransi membaik ditandai dengan, keluhan lelah menurun, dispnea saat beraktivitas menurun,dispnea setelah aktivitas menurun,dan keluhan sesak menurun.</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 xml:space="preserve">Menurut penelitian meiliarani (2024) pada Ny, E menunjukan peningkatan toleransi aktivitas dari lavel 3 (sedang) meningkat menjadi level 5 (baik). </w:t>
      </w: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 xml:space="preserve">Menurut peneliti berdasarkan fakta dan teori diatas didapatkan tidak ada kesenjangan dikarenakan  manajemen energy dan latihan rentang gerak ROM aktif dapat meningkatkan toleransi aktivitas dikarenakan didapatkan hasil evaluasi setelah melakukan implementasi selama 6 hari yaitu toleransi aktivitas meningkat ditandai dengan keluhan lelah menurun, dispnea saat aktivitas menurun,dispnea setelah aktivitas menurun, frekuensi nadi membaik, dan </w:t>
      </w:r>
      <w:r>
        <w:rPr>
          <w:rFonts w:ascii="Cambria" w:hAnsi="Cambria" w:eastAsia="Cambria" w:cs="Cambria"/>
          <w:color w:val="000000"/>
          <w:sz w:val="22"/>
          <w:szCs w:val="22"/>
        </w:rPr>
        <w:t>didapatkan skor instrument toleransi aktivitas dengan skor 27 (toleransi aktivitas baik).</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Latihan Range of Motion (ROM) memiliki pengaruh yang  terhadap masalah intoleransi aktivitas pada penderita Penyakit Ginjal Kronis (CKD). Meskipun latihan ROM lebih berfokus pada fleksibilitas sendi dan kekuatan otot, manfaatnya secara tidak langsung dapat meningkatkan toleransi aktivitas secara keseluruhan. Pasien CKD, terutama yang menjalani hemodialisis, seringkali kurang aktif karena kelelahan, kelemahan, dan komplikasi lainnya. Kurangnya gerakan dapat menyebabkan sendi menjadi kaku dan otot memendek (kontraktur). Latihan ROM secara teratur membantu menjaga kelenturan sendi dan mencegah pemendekan otot, sehingga memungkinkan rentang gerak yang lebih luas. Ini membuat gerakan sehari-hari (seperti berpakaian, makan, atau berjalan) menjadi lebih mudah dan kurang menyakitkan.</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lang w:val="en-US"/>
        </w:rPr>
      </w:pPr>
      <w:r>
        <w:rPr>
          <w:rFonts w:ascii="Cambria" w:hAnsi="Cambria" w:eastAsia="Cambria" w:cs="Cambria"/>
          <w:color w:val="000000"/>
          <w:sz w:val="22"/>
          <w:szCs w:val="22"/>
        </w:rPr>
        <w:t>Latihan ROM juga berdampak pada peningkatan kekuatan otot. Meskipun latihan ROM bukan latihan kekuatan utama, melakukan gerakan melalui rentang gerak penuh dapat membantu mempertahankan atau bahkan sedikit meningkatkan kekuatan otot, terutama pada pasien yang sangat lemah atau tirah baring. Dengan kekuatan otot yang lebih baik, aktivitas yang dulunya sulit atau tidak mungkin dilakukan menjadi lebih mudah untuk diselesaikan, sehingga meningkatkan toleransi aktivitas</w:t>
      </w:r>
      <w:r>
        <w:rPr>
          <w:rFonts w:ascii="Cambria" w:hAnsi="Cambria" w:eastAsia="Cambria" w:cs="Cambria"/>
          <w:color w:val="000000"/>
          <w:sz w:val="22"/>
          <w:szCs w:val="22"/>
          <w:lang w:val="en-US"/>
        </w:rPr>
        <w:t>.</w:t>
      </w:r>
    </w:p>
    <w:p>
      <w:pPr>
        <w:spacing w:after="0" w:line="240" w:lineRule="auto"/>
        <w:ind w:left="360"/>
        <w:jc w:val="both"/>
        <w:rPr>
          <w:rFonts w:ascii="Cambria" w:hAnsi="Cambria" w:eastAsia="Cambria" w:cs="Cambria"/>
          <w:color w:val="000000"/>
          <w:sz w:val="22"/>
          <w:szCs w:val="22"/>
          <w:lang w:val="en-US"/>
        </w:rPr>
      </w:pPr>
    </w:p>
    <w:p>
      <w:pPr>
        <w:spacing w:after="0" w:line="240" w:lineRule="auto"/>
        <w:ind w:left="360"/>
        <w:jc w:val="both"/>
        <w:rPr>
          <w:rFonts w:ascii="Cambria" w:hAnsi="Cambria" w:eastAsia="Cambria" w:cs="Cambria"/>
          <w:color w:val="000000"/>
          <w:sz w:val="22"/>
          <w:szCs w:val="22"/>
        </w:rPr>
      </w:pPr>
      <w:r>
        <w:rPr>
          <w:rFonts w:ascii="Cambria" w:hAnsi="Cambria" w:eastAsia="Cambria" w:cs="Cambria"/>
          <w:color w:val="000000"/>
          <w:sz w:val="22"/>
          <w:szCs w:val="22"/>
        </w:rPr>
        <w:t>Range of Motion (ROM) adalah latihan yang dilakukan untuk merangsang pertumbuhan pembuluh darah yang kecil (Kapiler) dalam otot. Hal ini membantu tubuh untuk lebih efisien menghantarkan oksigen ke otot, dapat memperbaiki sirkulasi secara menyeluruh dan menurunkan tekanan darah serta mengeluarkan hasil sampah metabolik yang mengiritasi seperti asam laktat dari dalam otot. Latihan yang adekuat meningkatkan efisiensi aliran darah, sehingga tubuh mengeksresikan sisa metabolisme secara lebih efektif.</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b/>
          <w:color w:val="000000"/>
          <w:sz w:val="22"/>
          <w:szCs w:val="22"/>
        </w:rPr>
      </w:pPr>
      <w:r>
        <w:rPr>
          <w:rFonts w:ascii="Cambria" w:hAnsi="Cambria" w:eastAsia="Cambria" w:cs="Cambria"/>
          <w:b/>
          <w:color w:val="000000"/>
          <w:sz w:val="22"/>
          <w:szCs w:val="22"/>
        </w:rPr>
        <w:t>KESIMPULAN</w:t>
      </w:r>
    </w:p>
    <w:p>
      <w:pPr>
        <w:spacing w:after="0" w:line="240" w:lineRule="auto"/>
        <w:ind w:left="426"/>
        <w:jc w:val="both"/>
        <w:rPr>
          <w:rFonts w:ascii="Cambria" w:hAnsi="Cambria" w:eastAsia="DengXian" w:cs="Times New Roman"/>
          <w:sz w:val="22"/>
          <w:szCs w:val="22"/>
          <w:lang w:val="en-GB"/>
        </w:rPr>
      </w:pPr>
      <w:r>
        <w:rPr>
          <w:rFonts w:ascii="Cambria" w:hAnsi="Cambria" w:eastAsia="DengXian" w:cs="Times New Roman"/>
          <w:sz w:val="22"/>
          <w:szCs w:val="22"/>
          <w:lang w:val="en-GB"/>
        </w:rPr>
        <w:t>Setelah dilakukan implementasi keperawatan selama 6 hari, selanjutnya dilakukan evaluasi keperawatan dimana terdapat lembar observasi intoleransi aktivitas pada Ny. L masalah teratasi dengan kriteria hasil yang diharapkan yaitu, keluhan lelah menurun, dipsnea saat beraktivitas menurun, dipsnea setelah beraktivitas menurun, Nadi membaik.</w:t>
      </w: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p>
    <w:p>
      <w:pPr>
        <w:spacing w:after="0" w:line="240" w:lineRule="auto"/>
        <w:ind w:left="360"/>
        <w:jc w:val="both"/>
        <w:rPr>
          <w:rFonts w:ascii="Cambria" w:hAnsi="Cambria" w:eastAsia="Cambria" w:cs="Cambria"/>
          <w:color w:val="000000"/>
          <w:sz w:val="22"/>
          <w:szCs w:val="22"/>
        </w:rPr>
      </w:pPr>
      <w:bookmarkStart w:id="31" w:name="_GoBack"/>
      <w:bookmarkEnd w:id="31"/>
    </w:p>
    <w:p>
      <w:pPr>
        <w:spacing w:after="0" w:line="240" w:lineRule="auto"/>
        <w:ind w:left="360"/>
        <w:jc w:val="both"/>
        <w:rPr>
          <w:rFonts w:ascii="Cambria" w:hAnsi="Cambria" w:eastAsia="Cambria" w:cs="Cambria"/>
          <w:b/>
          <w:color w:val="000000"/>
          <w:sz w:val="22"/>
          <w:szCs w:val="22"/>
        </w:rPr>
      </w:pPr>
    </w:p>
    <w:p>
      <w:pPr>
        <w:spacing w:after="0" w:line="240" w:lineRule="auto"/>
        <w:ind w:left="360"/>
        <w:jc w:val="both"/>
        <w:rPr>
          <w:rFonts w:ascii="Times New Roman" w:hAnsi="Times New Roman" w:eastAsia="Times New Roman" w:cs="Times New Roman"/>
          <w:b/>
          <w:color w:val="000000"/>
        </w:rPr>
      </w:pPr>
    </w:p>
    <w:p>
      <w:pPr>
        <w:spacing w:line="240" w:lineRule="auto"/>
        <w:jc w:val="both"/>
        <w:rPr>
          <w:rFonts w:ascii="Cambria" w:hAnsi="Cambria" w:eastAsia="Cambria" w:cs="Cambria"/>
          <w:b/>
          <w:color w:val="000000"/>
          <w:sz w:val="22"/>
          <w:szCs w:val="22"/>
        </w:rPr>
      </w:pPr>
      <w:r>
        <w:rPr>
          <w:rFonts w:ascii="Cambria" w:hAnsi="Cambria" w:eastAsia="Cambria" w:cs="Cambria"/>
          <w:b/>
          <w:color w:val="000000"/>
          <w:sz w:val="22"/>
          <w:szCs w:val="22"/>
        </w:rPr>
        <w:t>DAFTAR PUSTAKA</w:t>
      </w:r>
    </w:p>
    <w:p>
      <w:pPr>
        <w:spacing w:before="200" w:after="120" w:line="240" w:lineRule="auto"/>
        <w:ind w:left="720" w:hanging="720"/>
        <w:jc w:val="both"/>
        <w:rPr>
          <w:rFonts w:eastAsia="DengXian" w:asciiTheme="minorHAnsi" w:hAnsiTheme="minorHAnsi" w:cstheme="minorHAnsi"/>
          <w:color w:val="000000"/>
          <w:sz w:val="22"/>
          <w:szCs w:val="22"/>
          <w:lang w:val="id-ID"/>
        </w:rPr>
      </w:pPr>
      <w:r>
        <w:rPr>
          <w:rFonts w:eastAsia="DengXian" w:asciiTheme="minorHAnsi" w:hAnsiTheme="minorHAnsi" w:cstheme="minorHAnsi"/>
          <w:color w:val="000000"/>
          <w:sz w:val="22"/>
          <w:szCs w:val="22"/>
          <w:lang w:val="id-ID"/>
        </w:rPr>
        <w:t>Aisara, Azmi, &amp; Syaiful. (2018). Gambaran Klinis Penyakit Ginjal Kronik yang Menjalani Hemodialisis di RSUP Dr. M. Djamil Padang. Jurnal Kesehatan Andalas. Jurnal Kesehatan Andalas, 7(1).</w:t>
      </w:r>
    </w:p>
    <w:p>
      <w:pPr>
        <w:spacing w:before="200" w:after="120" w:line="240" w:lineRule="auto"/>
        <w:ind w:left="720" w:hanging="720"/>
        <w:jc w:val="both"/>
        <w:rPr>
          <w:rFonts w:eastAsia="DengXian" w:asciiTheme="minorHAnsi" w:hAnsiTheme="minorHAnsi" w:cstheme="minorHAnsi"/>
          <w:color w:val="000000"/>
          <w:sz w:val="22"/>
          <w:szCs w:val="22"/>
          <w:lang w:val="id-ID"/>
        </w:rPr>
      </w:pPr>
      <w:r>
        <w:rPr>
          <w:rFonts w:eastAsia="DengXian" w:asciiTheme="minorHAnsi" w:hAnsiTheme="minorHAnsi" w:cstheme="minorHAnsi"/>
          <w:color w:val="000000"/>
          <w:sz w:val="22"/>
          <w:szCs w:val="22"/>
          <w:lang w:val="id-ID" w:eastAsia="en-US"/>
        </w:rPr>
        <w:t xml:space="preserve">ANEMIA DEFISIENSI BESI | </w:t>
      </w:r>
      <w:bookmarkStart w:id="3" w:name="Aisara"/>
      <w:bookmarkStart w:id="4" w:name="Fitriany"/>
      <w:r>
        <w:rPr>
          <w:rFonts w:eastAsia="DengXian" w:asciiTheme="minorHAnsi" w:hAnsiTheme="minorHAnsi" w:cstheme="minorHAnsi"/>
          <w:color w:val="000000"/>
          <w:sz w:val="22"/>
          <w:szCs w:val="22"/>
          <w:lang w:val="id-ID" w:eastAsia="en-US"/>
        </w:rPr>
        <w:t>Fitriany</w:t>
      </w:r>
      <w:bookmarkEnd w:id="3"/>
      <w:bookmarkEnd w:id="4"/>
      <w:r>
        <w:rPr>
          <w:rFonts w:eastAsia="DengXian" w:asciiTheme="minorHAnsi" w:hAnsiTheme="minorHAnsi" w:cstheme="minorHAnsi"/>
          <w:color w:val="000000"/>
          <w:sz w:val="22"/>
          <w:szCs w:val="22"/>
          <w:lang w:val="id-ID" w:eastAsia="en-US"/>
        </w:rPr>
        <w:t xml:space="preserve"> | AVERROUS: Jurnal Kedokteran dan Kesehatan Malikussaleh. (n.d.). Retrieved March 28, 2021.</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5" w:name="Amin"/>
      <w:r>
        <w:rPr>
          <w:rFonts w:eastAsia="DengXian" w:asciiTheme="minorHAnsi" w:hAnsiTheme="minorHAnsi" w:cstheme="minorHAnsi"/>
          <w:color w:val="000000"/>
          <w:sz w:val="22"/>
          <w:szCs w:val="22"/>
          <w:lang w:val="id-ID"/>
        </w:rPr>
        <w:t>Amin</w:t>
      </w:r>
      <w:bookmarkEnd w:id="5"/>
      <w:r>
        <w:rPr>
          <w:rFonts w:eastAsia="DengXian" w:asciiTheme="minorHAnsi" w:hAnsiTheme="minorHAnsi" w:cstheme="minorHAnsi"/>
          <w:color w:val="000000"/>
          <w:sz w:val="22"/>
          <w:szCs w:val="22"/>
          <w:lang w:val="id-ID"/>
        </w:rPr>
        <w:t xml:space="preserve"> Hardi. (2015). Aplikasi Asuhan Keperawatan Berdasarkan Diagnosa</w:t>
      </w:r>
      <w:r>
        <w:rPr>
          <w:rFonts w:eastAsia="DengXian" w:asciiTheme="minorHAnsi" w:hAnsiTheme="minorHAnsi" w:cstheme="minorHAnsi"/>
          <w:color w:val="000000"/>
          <w:sz w:val="22"/>
          <w:szCs w:val="22"/>
          <w:lang w:val="en-US"/>
        </w:rPr>
        <w:t xml:space="preserve"> </w:t>
      </w:r>
      <w:r>
        <w:rPr>
          <w:rFonts w:eastAsia="DengXian" w:asciiTheme="minorHAnsi" w:hAnsiTheme="minorHAnsi" w:cstheme="minorHAnsi"/>
          <w:color w:val="000000"/>
          <w:sz w:val="22"/>
          <w:szCs w:val="22"/>
          <w:lang w:val="id-ID"/>
        </w:rPr>
        <w:t>Medis &amp; Nanda Nic, Nic, Noc. Medi Action.</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6" w:name="Ambar"/>
      <w:r>
        <w:rPr>
          <w:rFonts w:eastAsia="DengXian" w:asciiTheme="minorHAnsi" w:hAnsiTheme="minorHAnsi" w:cstheme="minorHAnsi"/>
          <w:color w:val="000000"/>
          <w:sz w:val="22"/>
          <w:szCs w:val="22"/>
          <w:shd w:val="clear" w:color="auto" w:fill="FFFFFF"/>
          <w:lang w:val="zh-CN" w:eastAsia="zh-CN"/>
        </w:rPr>
        <w:t>Ambar</w:t>
      </w:r>
      <w:bookmarkEnd w:id="6"/>
      <w:r>
        <w:rPr>
          <w:rFonts w:eastAsia="DengXian" w:asciiTheme="minorHAnsi" w:hAnsiTheme="minorHAnsi" w:cstheme="minorHAnsi"/>
          <w:color w:val="000000"/>
          <w:sz w:val="22"/>
          <w:szCs w:val="22"/>
          <w:shd w:val="clear" w:color="auto" w:fill="FFFFFF"/>
          <w:lang w:val="zh-CN" w:eastAsia="zh-CN"/>
        </w:rPr>
        <w:t xml:space="preserve"> Dwi Prayoga, Giri Susanto, Raju Fredy, Heni Kurnia ( 2024) </w:t>
      </w:r>
      <w:r>
        <w:rPr>
          <w:rFonts w:eastAsia="DengXian" w:asciiTheme="minorHAnsi" w:hAnsiTheme="minorHAnsi" w:cstheme="minorHAnsi"/>
          <w:color w:val="000000"/>
          <w:sz w:val="22"/>
          <w:szCs w:val="22"/>
          <w:lang w:val="zh-CN" w:eastAsia="zh-CN"/>
        </w:rPr>
        <w:t>Pengarurange Of Motion Pasien Gagal Ginjal Kronik Di Rumah Sakit Umum Daerah Demang Sepulau Raya Lampung Tengah. Wellness And Healthy Magazine</w:t>
      </w:r>
    </w:p>
    <w:p>
      <w:pPr>
        <w:spacing w:before="200" w:after="120" w:line="240" w:lineRule="auto"/>
        <w:ind w:left="720" w:hanging="720"/>
        <w:jc w:val="both"/>
        <w:rPr>
          <w:rFonts w:eastAsia="DengXian" w:asciiTheme="minorHAnsi" w:hAnsiTheme="minorHAnsi" w:cstheme="minorHAnsi"/>
          <w:color w:val="000000"/>
          <w:sz w:val="22"/>
          <w:szCs w:val="22"/>
          <w:lang w:val="en-GB"/>
        </w:rPr>
      </w:pPr>
      <w:bookmarkStart w:id="7" w:name="Anggraini"/>
      <w:r>
        <w:rPr>
          <w:rFonts w:eastAsia="DengXian" w:asciiTheme="minorHAnsi" w:hAnsiTheme="minorHAnsi" w:cstheme="minorHAnsi"/>
          <w:color w:val="000000"/>
          <w:sz w:val="22"/>
          <w:szCs w:val="22"/>
          <w:lang w:val="id-ID"/>
        </w:rPr>
        <w:t>Anggraini</w:t>
      </w:r>
      <w:bookmarkEnd w:id="7"/>
      <w:r>
        <w:rPr>
          <w:rFonts w:eastAsia="DengXian" w:asciiTheme="minorHAnsi" w:hAnsiTheme="minorHAnsi" w:cstheme="minorHAnsi"/>
          <w:color w:val="000000"/>
          <w:sz w:val="22"/>
          <w:szCs w:val="22"/>
          <w:lang w:val="id-ID"/>
        </w:rPr>
        <w:t>. Y. (2016).</w:t>
      </w:r>
      <w:r>
        <w:rPr>
          <w:rFonts w:eastAsia="DengXian" w:asciiTheme="minorHAnsi" w:hAnsiTheme="minorHAnsi" w:cstheme="minorHAnsi"/>
          <w:color w:val="000000"/>
          <w:sz w:val="22"/>
          <w:szCs w:val="22"/>
          <w:lang w:val="en-US"/>
        </w:rPr>
        <w:t xml:space="preserve"> </w:t>
      </w:r>
      <w:r>
        <w:rPr>
          <w:rFonts w:eastAsia="DengXian" w:asciiTheme="minorHAnsi" w:hAnsiTheme="minorHAnsi" w:cstheme="minorHAnsi"/>
          <w:color w:val="000000"/>
          <w:sz w:val="22"/>
          <w:szCs w:val="22"/>
          <w:lang w:val="id-ID"/>
        </w:rPr>
        <w:t>Kualitas hidup pasien gagal ginjal kronis yang</w:t>
      </w:r>
      <w:r>
        <w:rPr>
          <w:rFonts w:eastAsia="DengXian" w:asciiTheme="minorHAnsi" w:hAnsiTheme="minorHAnsi" w:cstheme="minorHAnsi"/>
          <w:color w:val="000000"/>
          <w:sz w:val="22"/>
          <w:szCs w:val="22"/>
          <w:lang w:val="en-US"/>
        </w:rPr>
        <w:t xml:space="preserve"> </w:t>
      </w:r>
      <w:r>
        <w:rPr>
          <w:rFonts w:eastAsia="DengXian" w:asciiTheme="minorHAnsi" w:hAnsiTheme="minorHAnsi" w:cstheme="minorHAnsi"/>
          <w:color w:val="000000"/>
          <w:sz w:val="22"/>
          <w:szCs w:val="22"/>
          <w:lang w:val="id-ID"/>
        </w:rPr>
        <w:t>menjalani hemodialisis di RSUD Blambangan Ba</w:t>
      </w:r>
    </w:p>
    <w:p>
      <w:pPr>
        <w:spacing w:before="200" w:after="120" w:line="240" w:lineRule="auto"/>
        <w:ind w:left="720" w:hanging="720"/>
        <w:jc w:val="both"/>
        <w:rPr>
          <w:rFonts w:eastAsia="DengXian" w:asciiTheme="minorHAnsi" w:hAnsiTheme="minorHAnsi" w:cstheme="minorHAnsi"/>
          <w:color w:val="000000"/>
          <w:sz w:val="22"/>
          <w:szCs w:val="22"/>
          <w:lang w:val="id-ID" w:eastAsia="en-US"/>
        </w:rPr>
      </w:pPr>
      <w:bookmarkStart w:id="8" w:name="Arifin"/>
      <w:r>
        <w:rPr>
          <w:rFonts w:eastAsia="DengXian" w:asciiTheme="minorHAnsi" w:hAnsiTheme="minorHAnsi" w:cstheme="minorHAnsi"/>
          <w:color w:val="000000"/>
          <w:sz w:val="22"/>
          <w:szCs w:val="22"/>
          <w:lang w:val="zh-CN" w:eastAsia="zh-CN"/>
        </w:rPr>
        <w:t>Arifin</w:t>
      </w:r>
      <w:bookmarkEnd w:id="8"/>
      <w:r>
        <w:rPr>
          <w:rFonts w:eastAsia="DengXian" w:asciiTheme="minorHAnsi" w:hAnsiTheme="minorHAnsi" w:cstheme="minorHAnsi"/>
          <w:color w:val="000000"/>
          <w:sz w:val="22"/>
          <w:szCs w:val="22"/>
          <w:lang w:val="zh-CN" w:eastAsia="zh-CN"/>
        </w:rPr>
        <w:t>, Z., &amp; Fatmawati, B. R. (2023). Anemia Pada Pasien dengan Gagal Ginjal Kronik yang Menjalani Hemodialisa. PrimA: Jurnal Ilmiah Ilmu Kesehatan, 9(2), 1-7.</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9" w:name="Avandy"/>
      <w:r>
        <w:rPr>
          <w:rFonts w:eastAsia="DengXian" w:asciiTheme="minorHAnsi" w:hAnsiTheme="minorHAnsi" w:cstheme="minorHAnsi"/>
          <w:color w:val="000000"/>
          <w:sz w:val="22"/>
          <w:szCs w:val="22"/>
          <w:lang w:val="zh-CN" w:eastAsia="zh-CN"/>
        </w:rPr>
        <w:t>Avandy</w:t>
      </w:r>
      <w:bookmarkEnd w:id="9"/>
      <w:r>
        <w:rPr>
          <w:rFonts w:eastAsia="DengXian" w:asciiTheme="minorHAnsi" w:hAnsiTheme="minorHAnsi" w:cstheme="minorHAnsi"/>
          <w:color w:val="000000"/>
          <w:sz w:val="22"/>
          <w:szCs w:val="22"/>
          <w:lang w:val="zh-CN" w:eastAsia="zh-CN"/>
        </w:rPr>
        <w:t xml:space="preserve"> Rachman, M. Y., &amp; Dwi, A. (2023). Analisis Asuhan Keperawatan Pada Pasien Cronic Kidney Desease (CKD) Dengan Intoleransi Aktivitas Menggunakan Penerapan Teknik Nafas Dalam Di RSUD BANGIL (Doctoral dissertation, Perpustakaan Universitas Bina Sehat).</w:t>
      </w:r>
    </w:p>
    <w:p>
      <w:pPr>
        <w:spacing w:line="240" w:lineRule="auto"/>
        <w:ind w:left="720" w:hanging="720"/>
        <w:jc w:val="both"/>
        <w:rPr>
          <w:rFonts w:eastAsia="DengXian" w:asciiTheme="minorHAnsi" w:hAnsiTheme="minorHAnsi" w:cstheme="minorHAnsi"/>
          <w:color w:val="000000"/>
          <w:sz w:val="22"/>
          <w:szCs w:val="22"/>
          <w:lang w:val="id-ID" w:eastAsia="en-US"/>
        </w:rPr>
      </w:pPr>
      <w:bookmarkStart w:id="10" w:name="Dila"/>
      <w:r>
        <w:rPr>
          <w:rFonts w:eastAsia="DengXian" w:asciiTheme="minorHAnsi" w:hAnsiTheme="minorHAnsi" w:cstheme="minorHAnsi"/>
          <w:color w:val="000000"/>
          <w:sz w:val="22"/>
          <w:szCs w:val="22"/>
          <w:lang w:val="zh-CN" w:eastAsia="zh-CN"/>
        </w:rPr>
        <w:t>Dila</w:t>
      </w:r>
      <w:bookmarkEnd w:id="10"/>
      <w:r>
        <w:rPr>
          <w:rFonts w:eastAsia="DengXian" w:asciiTheme="minorHAnsi" w:hAnsiTheme="minorHAnsi" w:cstheme="minorHAnsi"/>
          <w:color w:val="000000"/>
          <w:sz w:val="22"/>
          <w:szCs w:val="22"/>
          <w:lang w:val="zh-CN" w:eastAsia="zh-CN"/>
        </w:rPr>
        <w:t>, R. R., &amp; Panma, Y. (2019). Asuhan Keperawatan</w:t>
      </w:r>
      <w:r>
        <w:rPr>
          <w:rFonts w:eastAsia="DengXian" w:asciiTheme="minorHAnsi" w:hAnsiTheme="minorHAnsi" w:cstheme="minorHAnsi"/>
          <w:color w:val="000000"/>
          <w:sz w:val="22"/>
          <w:szCs w:val="22"/>
          <w:lang w:val="id-ID" w:eastAsia="zh-CN"/>
        </w:rPr>
        <w:t xml:space="preserve"> </w:t>
      </w:r>
      <w:r>
        <w:rPr>
          <w:rFonts w:eastAsia="DengXian" w:asciiTheme="minorHAnsi" w:hAnsiTheme="minorHAnsi" w:cstheme="minorHAnsi"/>
          <w:color w:val="000000"/>
          <w:sz w:val="22"/>
          <w:szCs w:val="22"/>
          <w:lang w:val="zh-CN" w:eastAsia="zh-CN"/>
        </w:rPr>
        <w:t>Pada Klien Dengan Gangguan Gagal Ginjal Kronik</w:t>
      </w:r>
      <w:r>
        <w:rPr>
          <w:rFonts w:eastAsia="DengXian" w:asciiTheme="minorHAnsi" w:hAnsiTheme="minorHAnsi" w:cstheme="minorHAnsi"/>
          <w:color w:val="000000"/>
          <w:sz w:val="22"/>
          <w:szCs w:val="22"/>
          <w:lang w:val="id-ID" w:eastAsia="zh-CN"/>
        </w:rPr>
        <w:t xml:space="preserve"> </w:t>
      </w:r>
      <w:r>
        <w:rPr>
          <w:rFonts w:eastAsia="DengXian" w:asciiTheme="minorHAnsi" w:hAnsiTheme="minorHAnsi" w:cstheme="minorHAnsi"/>
          <w:color w:val="000000"/>
          <w:sz w:val="22"/>
          <w:szCs w:val="22"/>
          <w:lang w:val="zh-CN" w:eastAsia="zh-CN"/>
        </w:rPr>
        <w:t>RSUD Kota Bekasi. Buletin Kesehatan: Publikasi</w:t>
      </w:r>
      <w:r>
        <w:rPr>
          <w:rFonts w:eastAsia="DengXian" w:asciiTheme="minorHAnsi" w:hAnsiTheme="minorHAnsi" w:cstheme="minorHAnsi"/>
          <w:color w:val="000000"/>
          <w:sz w:val="22"/>
          <w:szCs w:val="22"/>
          <w:lang w:val="id-ID" w:eastAsia="zh-CN"/>
        </w:rPr>
        <w:t xml:space="preserve"> </w:t>
      </w:r>
      <w:r>
        <w:rPr>
          <w:rFonts w:eastAsia="DengXian" w:asciiTheme="minorHAnsi" w:hAnsiTheme="minorHAnsi" w:cstheme="minorHAnsi"/>
          <w:color w:val="000000"/>
          <w:sz w:val="22"/>
          <w:szCs w:val="22"/>
          <w:lang w:val="zh-CN" w:eastAsia="zh-CN"/>
        </w:rPr>
        <w:t>Ilmiah Bidang Kesehatan, 3(1), 41-61.</w:t>
      </w:r>
    </w:p>
    <w:p>
      <w:pPr>
        <w:spacing w:before="200" w:after="120" w:line="240" w:lineRule="auto"/>
        <w:ind w:left="720" w:hanging="720"/>
        <w:jc w:val="both"/>
        <w:rPr>
          <w:rFonts w:eastAsia="Times New Roman" w:asciiTheme="minorHAnsi" w:hAnsiTheme="minorHAnsi" w:cstheme="minorHAnsi"/>
          <w:color w:val="000000"/>
          <w:sz w:val="22"/>
          <w:szCs w:val="22"/>
          <w:lang w:val="id-ID" w:eastAsia="zh-CN"/>
        </w:rPr>
      </w:pPr>
      <w:bookmarkStart w:id="11" w:name="Dinas"/>
      <w:bookmarkStart w:id="12" w:name="DINKESPO"/>
      <w:r>
        <w:rPr>
          <w:rFonts w:eastAsia="Times New Roman" w:asciiTheme="minorHAnsi" w:hAnsiTheme="minorHAnsi" w:cstheme="minorHAnsi"/>
          <w:color w:val="000000"/>
          <w:sz w:val="22"/>
          <w:szCs w:val="22"/>
          <w:lang w:val="id-ID" w:eastAsia="zh-CN"/>
        </w:rPr>
        <w:t>Dinas</w:t>
      </w:r>
      <w:bookmarkEnd w:id="11"/>
      <w:r>
        <w:rPr>
          <w:rFonts w:eastAsia="Times New Roman" w:asciiTheme="minorHAnsi" w:hAnsiTheme="minorHAnsi" w:cstheme="minorHAnsi"/>
          <w:color w:val="000000"/>
          <w:sz w:val="22"/>
          <w:szCs w:val="22"/>
          <w:lang w:val="id-ID" w:eastAsia="zh-CN"/>
        </w:rPr>
        <w:t xml:space="preserve"> Kesehatan Ponorogo</w:t>
      </w:r>
      <w:bookmarkEnd w:id="12"/>
      <w:r>
        <w:rPr>
          <w:rFonts w:eastAsia="Times New Roman" w:asciiTheme="minorHAnsi" w:hAnsiTheme="minorHAnsi" w:cstheme="minorHAnsi"/>
          <w:color w:val="000000"/>
          <w:sz w:val="22"/>
          <w:szCs w:val="22"/>
          <w:lang w:val="id-ID" w:eastAsia="zh-CN"/>
        </w:rPr>
        <w:t>. (2022). Laporan Data Penyakit Ginjal Kronis di Ponorogo.</w:t>
      </w:r>
    </w:p>
    <w:p>
      <w:pPr>
        <w:spacing w:before="200" w:after="120" w:line="240" w:lineRule="auto"/>
        <w:ind w:left="720" w:hanging="720"/>
        <w:jc w:val="both"/>
        <w:rPr>
          <w:rFonts w:eastAsia="Times New Roman" w:asciiTheme="minorHAnsi" w:hAnsiTheme="minorHAnsi" w:cstheme="minorHAnsi"/>
          <w:color w:val="000000"/>
          <w:sz w:val="22"/>
          <w:szCs w:val="22"/>
          <w:lang w:val="id-ID" w:eastAsia="zh-CN"/>
        </w:rPr>
      </w:pPr>
      <w:bookmarkStart w:id="13" w:name="Fitri"/>
      <w:r>
        <w:rPr>
          <w:rFonts w:eastAsia="DengXian" w:asciiTheme="minorHAnsi" w:hAnsiTheme="minorHAnsi" w:cstheme="minorHAnsi"/>
          <w:color w:val="000000"/>
          <w:sz w:val="22"/>
          <w:szCs w:val="22"/>
          <w:lang w:val="zh-CN" w:eastAsia="zh-CN"/>
        </w:rPr>
        <w:t>Fitri</w:t>
      </w:r>
      <w:bookmarkEnd w:id="13"/>
      <w:r>
        <w:rPr>
          <w:rFonts w:eastAsia="DengXian" w:asciiTheme="minorHAnsi" w:hAnsiTheme="minorHAnsi" w:cstheme="minorHAnsi"/>
          <w:color w:val="000000"/>
          <w:sz w:val="22"/>
          <w:szCs w:val="22"/>
          <w:lang w:val="zh-CN" w:eastAsia="zh-CN"/>
        </w:rPr>
        <w:t>, F. W. (2022). Asuhan Keperawatan Pada Tn Z dengan Chronic Kidney Disease (CKD). Jurnal</w:t>
      </w:r>
      <w:r>
        <w:rPr>
          <w:rFonts w:eastAsia="DengXian" w:asciiTheme="minorHAnsi" w:hAnsiTheme="minorHAnsi" w:cstheme="minorHAnsi"/>
          <w:color w:val="000000"/>
          <w:sz w:val="22"/>
          <w:szCs w:val="22"/>
          <w:lang w:val="id-ID" w:eastAsia="zh-CN"/>
        </w:rPr>
        <w:t xml:space="preserve"> </w:t>
      </w:r>
      <w:r>
        <w:rPr>
          <w:rFonts w:eastAsia="DengXian" w:asciiTheme="minorHAnsi" w:hAnsiTheme="minorHAnsi" w:cstheme="minorHAnsi"/>
          <w:color w:val="000000"/>
          <w:sz w:val="22"/>
          <w:szCs w:val="22"/>
          <w:lang w:val="zh-CN" w:eastAsia="zh-CN"/>
        </w:rPr>
        <w:t>Ilmiah Cerebral Medika, 4(2), 5-5.</w:t>
      </w:r>
    </w:p>
    <w:p>
      <w:pPr>
        <w:spacing w:before="200" w:after="120" w:line="240" w:lineRule="auto"/>
        <w:ind w:left="720" w:hanging="720"/>
        <w:jc w:val="both"/>
        <w:rPr>
          <w:rFonts w:eastAsia="Times New Roman" w:asciiTheme="minorHAnsi" w:hAnsiTheme="minorHAnsi" w:cstheme="minorHAnsi"/>
          <w:color w:val="000000"/>
          <w:sz w:val="22"/>
          <w:szCs w:val="22"/>
          <w:lang w:val="id-ID" w:eastAsia="zh-CN"/>
        </w:rPr>
      </w:pPr>
      <w:bookmarkStart w:id="14" w:name="Global"/>
      <w:r>
        <w:rPr>
          <w:rFonts w:eastAsia="Times New Roman" w:asciiTheme="minorHAnsi" w:hAnsiTheme="minorHAnsi" w:cstheme="minorHAnsi"/>
          <w:color w:val="000000"/>
          <w:sz w:val="22"/>
          <w:szCs w:val="22"/>
          <w:lang w:val="id-ID" w:eastAsia="zh-CN"/>
        </w:rPr>
        <w:t>Global</w:t>
      </w:r>
      <w:bookmarkEnd w:id="14"/>
      <w:r>
        <w:rPr>
          <w:rFonts w:eastAsia="Times New Roman" w:asciiTheme="minorHAnsi" w:hAnsiTheme="minorHAnsi" w:cstheme="minorHAnsi"/>
          <w:color w:val="000000"/>
          <w:sz w:val="22"/>
          <w:szCs w:val="22"/>
          <w:lang w:val="id-ID" w:eastAsia="zh-CN"/>
        </w:rPr>
        <w:t xml:space="preserve"> Burden of Disease Study. (2019). </w:t>
      </w:r>
      <w:bookmarkStart w:id="15" w:name="GBD"/>
      <w:r>
        <w:rPr>
          <w:rFonts w:eastAsia="Times New Roman" w:asciiTheme="minorHAnsi" w:hAnsiTheme="minorHAnsi" w:cstheme="minorHAnsi"/>
          <w:color w:val="000000"/>
          <w:sz w:val="22"/>
          <w:szCs w:val="22"/>
          <w:lang w:val="id-ID" w:eastAsia="zh-CN"/>
        </w:rPr>
        <w:t>GBD</w:t>
      </w:r>
      <w:bookmarkEnd w:id="15"/>
      <w:r>
        <w:rPr>
          <w:rFonts w:eastAsia="Times New Roman" w:asciiTheme="minorHAnsi" w:hAnsiTheme="minorHAnsi" w:cstheme="minorHAnsi"/>
          <w:color w:val="000000"/>
          <w:sz w:val="22"/>
          <w:szCs w:val="22"/>
          <w:lang w:val="id-ID" w:eastAsia="zh-CN"/>
        </w:rPr>
        <w:t xml:space="preserve"> 2019: Global Health Estimates.</w:t>
      </w:r>
    </w:p>
    <w:p>
      <w:pPr>
        <w:spacing w:before="200" w:after="120" w:line="240" w:lineRule="auto"/>
        <w:ind w:left="720" w:hanging="720"/>
        <w:jc w:val="both"/>
        <w:rPr>
          <w:rFonts w:eastAsia="Times New Roman" w:asciiTheme="minorHAnsi" w:hAnsiTheme="minorHAnsi" w:cstheme="minorHAnsi"/>
          <w:color w:val="000000"/>
          <w:sz w:val="22"/>
          <w:szCs w:val="22"/>
          <w:lang w:val="id-ID" w:eastAsia="zh-CN"/>
        </w:rPr>
      </w:pPr>
      <w:bookmarkStart w:id="16" w:name="Hadinata"/>
      <w:r>
        <w:rPr>
          <w:rFonts w:eastAsia="DengXian" w:asciiTheme="minorHAnsi" w:hAnsiTheme="minorHAnsi" w:cstheme="minorHAnsi"/>
          <w:color w:val="000000"/>
          <w:sz w:val="22"/>
          <w:szCs w:val="22"/>
          <w:lang w:val="zh-CN" w:eastAsia="zh-CN"/>
        </w:rPr>
        <w:t>Hadinata</w:t>
      </w:r>
      <w:bookmarkEnd w:id="16"/>
      <w:r>
        <w:rPr>
          <w:rFonts w:eastAsia="DengXian" w:asciiTheme="minorHAnsi" w:hAnsiTheme="minorHAnsi" w:cstheme="minorHAnsi"/>
          <w:color w:val="000000"/>
          <w:sz w:val="22"/>
          <w:szCs w:val="22"/>
          <w:lang w:val="zh-CN" w:eastAsia="zh-CN"/>
        </w:rPr>
        <w:t>, D., Kp, S., &amp; Kep, M. (2022). Patofisiologi. Edu Publisher.</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17" w:name="Hesti"/>
      <w:r>
        <w:rPr>
          <w:rFonts w:eastAsia="DengXian" w:asciiTheme="minorHAnsi" w:hAnsiTheme="minorHAnsi" w:cstheme="minorHAnsi"/>
          <w:color w:val="000000"/>
          <w:sz w:val="22"/>
          <w:szCs w:val="22"/>
          <w:lang w:val="zh-CN" w:eastAsia="zh-CN"/>
        </w:rPr>
        <w:t>Hesti</w:t>
      </w:r>
      <w:bookmarkEnd w:id="17"/>
      <w:r>
        <w:rPr>
          <w:rFonts w:eastAsia="DengXian" w:asciiTheme="minorHAnsi" w:hAnsiTheme="minorHAnsi" w:cstheme="minorHAnsi"/>
          <w:color w:val="000000"/>
          <w:sz w:val="22"/>
          <w:szCs w:val="22"/>
          <w:lang w:val="zh-CN" w:eastAsia="zh-CN"/>
        </w:rPr>
        <w:t xml:space="preserve"> Asmi Dianty, H. (2024). Perbedaan Jumlah Trombosit Pada Pasien Gagal Ginjal Kronik Berdasarkan Periode Waktu Hemodialisa Di Rumah Sakit Santa Elisabeth Batam Kota(Doctoral dissertation, Universitas Perintis Indonesia).</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18" w:name="Indonesia"/>
      <w:r>
        <w:rPr>
          <w:rFonts w:eastAsia="DengXian" w:asciiTheme="minorHAnsi" w:hAnsiTheme="minorHAnsi" w:cstheme="minorHAnsi"/>
          <w:color w:val="000000"/>
          <w:sz w:val="22"/>
          <w:szCs w:val="22"/>
          <w:lang w:val="zh-CN" w:eastAsia="zh-CN"/>
        </w:rPr>
        <w:t>Indonesia</w:t>
      </w:r>
      <w:bookmarkEnd w:id="18"/>
      <w:r>
        <w:rPr>
          <w:rFonts w:eastAsia="DengXian" w:asciiTheme="minorHAnsi" w:hAnsiTheme="minorHAnsi" w:cstheme="minorHAnsi"/>
          <w:color w:val="000000"/>
          <w:sz w:val="22"/>
          <w:szCs w:val="22"/>
          <w:lang w:val="zh-CN" w:eastAsia="zh-CN"/>
        </w:rPr>
        <w:t>, P. R. (2024) Pedoman Diagnosis dan Tatalaksana Hiperurisemia &amp; Artritis Gout.</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19" w:name="Kalengkor"/>
      <w:r>
        <w:rPr>
          <w:rFonts w:eastAsia="DengXian" w:asciiTheme="minorHAnsi" w:hAnsiTheme="minorHAnsi" w:cstheme="minorHAnsi"/>
          <w:color w:val="000000"/>
          <w:sz w:val="22"/>
          <w:szCs w:val="22"/>
          <w:lang w:val="id-ID"/>
        </w:rPr>
        <w:t>Kalengkor</w:t>
      </w:r>
      <w:bookmarkEnd w:id="19"/>
      <w:r>
        <w:rPr>
          <w:rFonts w:eastAsia="DengXian" w:asciiTheme="minorHAnsi" w:hAnsiTheme="minorHAnsi" w:cstheme="minorHAnsi"/>
          <w:color w:val="000000"/>
          <w:sz w:val="22"/>
          <w:szCs w:val="22"/>
          <w:lang w:val="id-ID"/>
        </w:rPr>
        <w:t xml:space="preserve"> Risiko Yang Berhubungan Dengan Cronik Kaey Diseasr-</w:t>
      </w:r>
      <w:r>
        <w:rPr>
          <w:rFonts w:eastAsia="DengXian" w:asciiTheme="minorHAnsi" w:hAnsiTheme="minorHAnsi" w:cstheme="minorHAnsi"/>
          <w:color w:val="000000"/>
          <w:sz w:val="22"/>
          <w:szCs w:val="22"/>
          <w:lang w:val="en-US"/>
        </w:rPr>
        <w:t xml:space="preserve"> </w:t>
      </w:r>
      <w:r>
        <w:rPr>
          <w:rFonts w:eastAsia="DengXian" w:asciiTheme="minorHAnsi" w:hAnsiTheme="minorHAnsi" w:cstheme="minorHAnsi"/>
          <w:color w:val="000000"/>
          <w:sz w:val="22"/>
          <w:szCs w:val="22"/>
          <w:lang w:val="id-ID"/>
        </w:rPr>
        <w:t>(CKD) Penderita Yang Dirawat Di Rumah Sakit Daerah Liunkendage</w:t>
      </w:r>
      <w:r>
        <w:rPr>
          <w:rFonts w:eastAsia="DengXian" w:asciiTheme="minorHAnsi" w:hAnsiTheme="minorHAnsi" w:cstheme="minorHAnsi"/>
          <w:color w:val="000000"/>
          <w:sz w:val="22"/>
          <w:szCs w:val="22"/>
          <w:lang w:val="en-US"/>
        </w:rPr>
        <w:t xml:space="preserve"> </w:t>
      </w:r>
      <w:r>
        <w:rPr>
          <w:rFonts w:eastAsia="DengXian" w:asciiTheme="minorHAnsi" w:hAnsiTheme="minorHAnsi" w:cstheme="minorHAnsi"/>
          <w:color w:val="000000"/>
          <w:sz w:val="22"/>
          <w:szCs w:val="22"/>
          <w:lang w:val="id-ID"/>
        </w:rPr>
        <w:t>Tahuna. Jurnal Ilmiah Sesebanua, 2(2), 100-114.</w:t>
      </w:r>
    </w:p>
    <w:p>
      <w:pPr>
        <w:spacing w:before="200" w:after="120" w:line="240" w:lineRule="auto"/>
        <w:ind w:left="720" w:hanging="720"/>
        <w:jc w:val="both"/>
        <w:rPr>
          <w:rFonts w:eastAsia="Times New Roman" w:asciiTheme="minorHAnsi" w:hAnsiTheme="minorHAnsi" w:cstheme="minorHAnsi"/>
          <w:color w:val="000000"/>
          <w:sz w:val="22"/>
          <w:szCs w:val="22"/>
          <w:lang w:val="id-ID" w:eastAsia="zh-CN"/>
        </w:rPr>
      </w:pPr>
      <w:bookmarkStart w:id="20" w:name="Kementerian"/>
      <w:bookmarkStart w:id="21" w:name="kkri2"/>
      <w:r>
        <w:rPr>
          <w:rFonts w:eastAsia="Times New Roman" w:asciiTheme="minorHAnsi" w:hAnsiTheme="minorHAnsi" w:cstheme="minorHAnsi"/>
          <w:color w:val="000000"/>
          <w:sz w:val="22"/>
          <w:szCs w:val="22"/>
          <w:lang w:val="id-ID" w:eastAsia="zh-CN"/>
        </w:rPr>
        <w:t>Kementerian</w:t>
      </w:r>
      <w:bookmarkEnd w:id="20"/>
      <w:r>
        <w:rPr>
          <w:rFonts w:eastAsia="Times New Roman" w:asciiTheme="minorHAnsi" w:hAnsiTheme="minorHAnsi" w:cstheme="minorHAnsi"/>
          <w:color w:val="000000"/>
          <w:sz w:val="22"/>
          <w:szCs w:val="22"/>
          <w:lang w:val="id-ID" w:eastAsia="zh-CN"/>
        </w:rPr>
        <w:t xml:space="preserve"> Kesehatan Republik Indonesia</w:t>
      </w:r>
      <w:bookmarkEnd w:id="21"/>
      <w:r>
        <w:rPr>
          <w:rFonts w:eastAsia="Times New Roman" w:asciiTheme="minorHAnsi" w:hAnsiTheme="minorHAnsi" w:cstheme="minorHAnsi"/>
          <w:color w:val="000000"/>
          <w:sz w:val="22"/>
          <w:szCs w:val="22"/>
          <w:lang w:val="id-ID" w:eastAsia="zh-CN"/>
        </w:rPr>
        <w:t>. (2021). Laporan Tahunan Kesehatan 2021.</w:t>
      </w:r>
    </w:p>
    <w:p>
      <w:pPr>
        <w:spacing w:before="200" w:after="120" w:line="240" w:lineRule="auto"/>
        <w:ind w:left="720" w:hanging="720"/>
        <w:jc w:val="both"/>
        <w:rPr>
          <w:rFonts w:eastAsia="DengXian" w:asciiTheme="minorHAnsi" w:hAnsiTheme="minorHAnsi" w:cstheme="minorHAnsi"/>
          <w:color w:val="000000"/>
          <w:sz w:val="22"/>
          <w:szCs w:val="22"/>
          <w:lang w:val="en-GB"/>
        </w:rPr>
      </w:pPr>
      <w:bookmarkStart w:id="22" w:name="Kronis"/>
      <w:r>
        <w:rPr>
          <w:rFonts w:eastAsia="DengXian" w:asciiTheme="minorHAnsi" w:hAnsiTheme="minorHAnsi" w:cstheme="minorHAnsi"/>
          <w:color w:val="000000"/>
          <w:sz w:val="22"/>
          <w:szCs w:val="22"/>
          <w:lang w:val="id-ID"/>
        </w:rPr>
        <w:t>Kronis</w:t>
      </w:r>
      <w:bookmarkEnd w:id="22"/>
      <w:r>
        <w:rPr>
          <w:rFonts w:eastAsia="DengXian" w:asciiTheme="minorHAnsi" w:hAnsiTheme="minorHAnsi" w:cstheme="minorHAnsi"/>
          <w:color w:val="000000"/>
          <w:sz w:val="22"/>
          <w:szCs w:val="22"/>
          <w:lang w:val="id-ID"/>
        </w:rPr>
        <w:t xml:space="preserve">, G., Menjalani, </w:t>
      </w:r>
      <w:bookmarkStart w:id="23" w:name="YDi"/>
      <w:r>
        <w:rPr>
          <w:rFonts w:eastAsia="DengXian" w:asciiTheme="minorHAnsi" w:hAnsiTheme="minorHAnsi" w:cstheme="minorHAnsi"/>
          <w:color w:val="000000"/>
          <w:sz w:val="22"/>
          <w:szCs w:val="22"/>
          <w:lang w:val="id-ID"/>
        </w:rPr>
        <w:t xml:space="preserve">Y., &amp; Di, H. (2021). </w:t>
      </w:r>
      <w:bookmarkEnd w:id="23"/>
      <w:r>
        <w:rPr>
          <w:rFonts w:eastAsia="DengXian" w:asciiTheme="minorHAnsi" w:hAnsiTheme="minorHAnsi" w:cstheme="minorHAnsi"/>
          <w:color w:val="000000"/>
          <w:sz w:val="22"/>
          <w:szCs w:val="22"/>
          <w:lang w:val="id-ID"/>
        </w:rPr>
        <w:t>dr. Soedjono Magelang Effect Of Hemodialysis Dose On Ascites Event In Chronicrenal</w:t>
      </w:r>
      <w:r>
        <w:rPr>
          <w:rFonts w:eastAsia="DengXian" w:asciiTheme="minorHAnsi" w:hAnsiTheme="minorHAnsi" w:cstheme="minorHAnsi"/>
          <w:color w:val="000000"/>
          <w:sz w:val="22"/>
          <w:szCs w:val="22"/>
          <w:lang w:val="en-US"/>
        </w:rPr>
        <w:t xml:space="preserve"> </w:t>
      </w:r>
      <w:r>
        <w:rPr>
          <w:rFonts w:eastAsia="DengXian" w:asciiTheme="minorHAnsi" w:hAnsiTheme="minorHAnsi" w:cstheme="minorHAnsi"/>
          <w:color w:val="000000"/>
          <w:sz w:val="22"/>
          <w:szCs w:val="22"/>
          <w:lang w:val="id-ID"/>
        </w:rPr>
        <w:t>Failure.</w:t>
      </w:r>
      <w:r>
        <w:rPr>
          <w:rFonts w:eastAsia="DengXian" w:asciiTheme="minorHAnsi" w:hAnsiTheme="minorHAnsi" w:cstheme="minorHAnsi"/>
          <w:color w:val="000000"/>
          <w:sz w:val="22"/>
          <w:szCs w:val="22"/>
          <w:lang w:val="en-US"/>
        </w:rPr>
        <w:t xml:space="preserve"> </w:t>
      </w:r>
      <w:r>
        <w:rPr>
          <w:rFonts w:eastAsia="DengXian" w:asciiTheme="minorHAnsi" w:hAnsiTheme="minorHAnsi" w:cstheme="minorHAnsi"/>
          <w:color w:val="000000"/>
          <w:sz w:val="22"/>
          <w:szCs w:val="22"/>
          <w:lang w:val="id-ID"/>
        </w:rPr>
        <w:t>6(2).</w:t>
      </w:r>
      <w:r>
        <w:rPr>
          <w:rFonts w:eastAsia="DengXian" w:asciiTheme="minorHAnsi" w:hAnsiTheme="minorHAnsi" w:cstheme="minorHAnsi"/>
          <w:color w:val="000000"/>
          <w:sz w:val="22"/>
          <w:szCs w:val="22"/>
          <w:lang w:val="en-US"/>
        </w:rPr>
        <w:t xml:space="preserve"> </w:t>
      </w:r>
    </w:p>
    <w:p>
      <w:pPr>
        <w:spacing w:before="200" w:after="120" w:line="240" w:lineRule="auto"/>
        <w:ind w:left="720" w:hanging="720"/>
        <w:jc w:val="both"/>
        <w:rPr>
          <w:rFonts w:eastAsia="DengXian" w:asciiTheme="minorHAnsi" w:hAnsiTheme="minorHAnsi" w:cstheme="minorHAnsi"/>
          <w:color w:val="000000"/>
          <w:sz w:val="22"/>
          <w:szCs w:val="22"/>
          <w:lang w:val="id-ID" w:eastAsia="en-US"/>
        </w:rPr>
      </w:pPr>
      <w:bookmarkStart w:id="24" w:name="Niom"/>
      <w:r>
        <w:rPr>
          <w:rFonts w:eastAsia="DengXian" w:asciiTheme="minorHAnsi" w:hAnsiTheme="minorHAnsi" w:cstheme="minorHAnsi"/>
          <w:color w:val="000000"/>
          <w:sz w:val="22"/>
          <w:szCs w:val="22"/>
          <w:lang w:val="zh-CN" w:eastAsia="zh-CN"/>
        </w:rPr>
        <w:t>Niom</w:t>
      </w:r>
      <w:bookmarkEnd w:id="24"/>
      <w:r>
        <w:rPr>
          <w:rFonts w:eastAsia="DengXian" w:asciiTheme="minorHAnsi" w:hAnsiTheme="minorHAnsi" w:cstheme="minorHAnsi"/>
          <w:color w:val="000000"/>
          <w:sz w:val="22"/>
          <w:szCs w:val="22"/>
          <w:lang w:val="zh-CN" w:eastAsia="zh-CN"/>
        </w:rPr>
        <w:t>, S. (2024). Asuhan Keperawatan Pada Pasien Gagal Ginjal Kronis Dengan Masalah Keperawatan Keletihan Di Ruang Hemodialisa Rumah Sakit Panti Waluya Sawahan (Doctoral dissertation, STIKes Panti Waluya Malang).</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25" w:name="Malik"/>
      <w:r>
        <w:rPr>
          <w:rFonts w:eastAsia="DengXian" w:asciiTheme="minorHAnsi" w:hAnsiTheme="minorHAnsi" w:cstheme="minorHAnsi"/>
          <w:color w:val="000000"/>
          <w:sz w:val="22"/>
          <w:szCs w:val="22"/>
          <w:lang w:val="zh-CN" w:eastAsia="zh-CN"/>
        </w:rPr>
        <w:t>Malik</w:t>
      </w:r>
      <w:bookmarkEnd w:id="25"/>
      <w:r>
        <w:rPr>
          <w:rFonts w:eastAsia="DengXian" w:asciiTheme="minorHAnsi" w:hAnsiTheme="minorHAnsi" w:cstheme="minorHAnsi"/>
          <w:color w:val="000000"/>
          <w:sz w:val="22"/>
          <w:szCs w:val="22"/>
          <w:lang w:val="zh-CN" w:eastAsia="zh-CN"/>
        </w:rPr>
        <w:t>, Z., Salam, A. Y., Wardani, H. R., Panma, Y., Lestari, T. P., Rahim, A., ... &amp; Faridah, V. N. (2022). Keperawatan Medikal Bedah II. Rizmedia Pustaka Indonesia.</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26" w:name="Maulydia"/>
      <w:bookmarkStart w:id="27" w:name="_Hlk193811213"/>
      <w:r>
        <w:rPr>
          <w:rFonts w:eastAsia="DengXian" w:asciiTheme="minorHAnsi" w:hAnsiTheme="minorHAnsi" w:cstheme="minorHAnsi"/>
          <w:color w:val="000000"/>
          <w:sz w:val="22"/>
          <w:szCs w:val="22"/>
          <w:lang w:val="zh-CN" w:eastAsia="zh-CN"/>
        </w:rPr>
        <w:t>Maulydia</w:t>
      </w:r>
      <w:bookmarkEnd w:id="26"/>
      <w:r>
        <w:rPr>
          <w:rFonts w:eastAsia="DengXian" w:asciiTheme="minorHAnsi" w:hAnsiTheme="minorHAnsi" w:cstheme="minorHAnsi"/>
          <w:color w:val="000000"/>
          <w:sz w:val="22"/>
          <w:szCs w:val="22"/>
          <w:lang w:val="zh-CN" w:eastAsia="zh-CN"/>
        </w:rPr>
        <w:t xml:space="preserve">, M. (2022). </w:t>
      </w:r>
      <w:bookmarkEnd w:id="27"/>
      <w:r>
        <w:rPr>
          <w:rFonts w:eastAsia="DengXian" w:asciiTheme="minorHAnsi" w:hAnsiTheme="minorHAnsi" w:cstheme="minorHAnsi"/>
          <w:color w:val="000000"/>
          <w:sz w:val="22"/>
          <w:szCs w:val="22"/>
          <w:lang w:val="zh-CN" w:eastAsia="zh-CN"/>
        </w:rPr>
        <w:t>Asuhan Keperawatan Pemenuhan Kebutuan Dasar Aktivitas dan Istirahat Pada Tn. M di Ruang Sawit RSUP Dr. Wahidin Sudirohusodo Makassar. Universitas Islam Negeri Alauddin Makassar.</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28" w:name="Mubarak"/>
      <w:r>
        <w:rPr>
          <w:rFonts w:eastAsia="DengXian" w:asciiTheme="minorHAnsi" w:hAnsiTheme="minorHAnsi" w:cstheme="minorHAnsi"/>
          <w:color w:val="000000"/>
          <w:sz w:val="22"/>
          <w:szCs w:val="22"/>
          <w:lang w:val="zh-CN" w:eastAsia="zh-CN"/>
        </w:rPr>
        <w:t>Mubarak</w:t>
      </w:r>
      <w:bookmarkEnd w:id="28"/>
      <w:r>
        <w:rPr>
          <w:rFonts w:eastAsia="DengXian" w:asciiTheme="minorHAnsi" w:hAnsiTheme="minorHAnsi" w:cstheme="minorHAnsi"/>
          <w:color w:val="000000"/>
          <w:sz w:val="22"/>
          <w:szCs w:val="22"/>
          <w:lang w:val="zh-CN" w:eastAsia="zh-CN"/>
        </w:rPr>
        <w:t>, W H., Indrawati, L &amp;  Susanto, J. (2015). Buku Ajar Ilmu Keperawatan Dasar Buku 1.  Jakarta: Salemba Medika.</w:t>
      </w:r>
    </w:p>
    <w:p>
      <w:pPr>
        <w:spacing w:before="200" w:after="120" w:line="240" w:lineRule="auto"/>
        <w:ind w:left="720" w:hanging="720"/>
        <w:jc w:val="both"/>
        <w:rPr>
          <w:rFonts w:eastAsia="DengXian" w:asciiTheme="minorHAnsi" w:hAnsiTheme="minorHAnsi" w:cstheme="minorHAnsi"/>
          <w:color w:val="000000"/>
          <w:sz w:val="22"/>
          <w:szCs w:val="22"/>
          <w:lang w:val="id-ID"/>
        </w:rPr>
      </w:pPr>
      <w:bookmarkStart w:id="29" w:name="Mutaqqin"/>
      <w:r>
        <w:rPr>
          <w:rFonts w:eastAsia="DengXian" w:asciiTheme="minorHAnsi" w:hAnsiTheme="minorHAnsi" w:cstheme="minorHAnsi"/>
          <w:color w:val="000000"/>
          <w:sz w:val="22"/>
          <w:szCs w:val="22"/>
          <w:lang w:val="id-ID"/>
        </w:rPr>
        <w:t>Mutaqqin</w:t>
      </w:r>
      <w:bookmarkEnd w:id="29"/>
      <w:r>
        <w:rPr>
          <w:rFonts w:eastAsia="DengXian" w:asciiTheme="minorHAnsi" w:hAnsiTheme="minorHAnsi" w:cstheme="minorHAnsi"/>
          <w:color w:val="000000"/>
          <w:sz w:val="22"/>
          <w:szCs w:val="22"/>
          <w:lang w:val="id-ID"/>
        </w:rPr>
        <w:t>, A., &amp; Sari, K. (2011). Asuhan Keperawatan Gangguan Sistem</w:t>
      </w:r>
      <w:r>
        <w:rPr>
          <w:rFonts w:eastAsia="DengXian" w:asciiTheme="minorHAnsi" w:hAnsiTheme="minorHAnsi" w:cstheme="minorHAnsi"/>
          <w:color w:val="000000"/>
          <w:sz w:val="22"/>
          <w:szCs w:val="22"/>
          <w:lang w:val="en-US"/>
        </w:rPr>
        <w:t xml:space="preserve"> </w:t>
      </w:r>
      <w:r>
        <w:rPr>
          <w:rFonts w:eastAsia="DengXian" w:asciiTheme="minorHAnsi" w:hAnsiTheme="minorHAnsi" w:cstheme="minorHAnsi"/>
          <w:color w:val="000000"/>
          <w:sz w:val="22"/>
          <w:szCs w:val="22"/>
          <w:lang w:val="id-ID"/>
        </w:rPr>
        <w:t>Perkemihan. Salemba Medika.</w:t>
      </w:r>
    </w:p>
    <w:p>
      <w:pPr>
        <w:spacing w:before="200" w:after="120" w:line="240" w:lineRule="auto"/>
        <w:ind w:left="720" w:hanging="720"/>
        <w:jc w:val="both"/>
        <w:rPr>
          <w:rFonts w:ascii="Times New Roman" w:hAnsi="Times New Roman" w:eastAsia="DengXian" w:cs="Times New Roman"/>
          <w:color w:val="000000"/>
          <w:lang w:val="id-ID"/>
        </w:rPr>
      </w:pPr>
      <w:bookmarkStart w:id="30" w:name="Nuari"/>
      <w:r>
        <w:rPr>
          <w:rFonts w:eastAsia="DengXian" w:asciiTheme="minorHAnsi" w:hAnsiTheme="minorHAnsi" w:cstheme="minorHAnsi"/>
          <w:color w:val="000000"/>
          <w:sz w:val="22"/>
          <w:szCs w:val="22"/>
          <w:lang w:val="id-ID"/>
        </w:rPr>
        <w:t>Nuari</w:t>
      </w:r>
      <w:bookmarkEnd w:id="30"/>
      <w:r>
        <w:rPr>
          <w:rFonts w:eastAsia="DengXian" w:asciiTheme="minorHAnsi" w:hAnsiTheme="minorHAnsi" w:cstheme="minorHAnsi"/>
          <w:color w:val="000000"/>
          <w:sz w:val="22"/>
          <w:szCs w:val="22"/>
          <w:lang w:val="id-ID"/>
        </w:rPr>
        <w:t>, N. A., &amp; Widayati. (2018). Gangguan pada sistem perkemihan dan</w:t>
      </w:r>
      <w:r>
        <w:rPr>
          <w:rFonts w:eastAsia="DengXian" w:asciiTheme="minorHAnsi" w:hAnsiTheme="minorHAnsi" w:cstheme="minorHAnsi"/>
          <w:color w:val="000000"/>
          <w:sz w:val="22"/>
          <w:szCs w:val="22"/>
          <w:lang w:val="en-US"/>
        </w:rPr>
        <w:t xml:space="preserve"> </w:t>
      </w:r>
      <w:r>
        <w:rPr>
          <w:rFonts w:eastAsia="DengXian" w:asciiTheme="minorHAnsi" w:hAnsiTheme="minorHAnsi" w:cstheme="minorHAnsi"/>
          <w:color w:val="000000"/>
          <w:sz w:val="22"/>
          <w:szCs w:val="22"/>
          <w:lang w:val="id-ID"/>
        </w:rPr>
        <w:t>penatalaksanaan keperawatan (budi utama</w:t>
      </w:r>
      <w:r>
        <w:rPr>
          <w:rFonts w:ascii="Times New Roman" w:hAnsi="Times New Roman" w:eastAsia="DengXian" w:cs="Times New Roman"/>
          <w:color w:val="000000"/>
          <w:lang w:val="id-ID"/>
        </w:rPr>
        <w:t>).</w:t>
      </w:r>
    </w:p>
    <w:p>
      <w:pPr>
        <w:rPr>
          <w:rFonts w:ascii="Times New Roman" w:hAnsi="Times New Roman" w:eastAsia="Times New Roman" w:cs="Times New Roman"/>
        </w:rPr>
      </w:pPr>
    </w:p>
    <w:sectPr>
      <w:headerReference r:id="rId3" w:type="default"/>
      <w:footerReference r:id="rId4" w:type="default"/>
      <w:pgSz w:w="11906" w:h="16838"/>
      <w:pgMar w:top="1701" w:right="1701" w:bottom="1701" w:left="2268"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DengXian">
    <w:altName w:val="SimSun"/>
    <w:panose1 w:val="02010600030101010101"/>
    <w:charset w:val="86"/>
    <w:family w:val="auto"/>
    <w:pitch w:val="default"/>
    <w:sig w:usb0="00000000" w:usb1="00000000" w:usb2="00000016" w:usb3="00000000" w:csb0="0004000F" w:csb1="00000000"/>
  </w:font>
  <w:font w:name="DengXian Light">
    <w:altName w:val="Microsoft YaHei"/>
    <w:panose1 w:val="00000000000000000000"/>
    <w:charset w:val="86"/>
    <w:family w:val="auto"/>
    <w:pitch w:val="default"/>
    <w:sig w:usb0="00000000" w:usb1="00000000" w:usb2="00000016" w:usb3="00000000" w:csb0="0004000F" w:csb1="00000000"/>
  </w:font>
  <w:font w:name="Calibri Light">
    <w:panose1 w:val="020F0302020204030204"/>
    <w:charset w:val="00"/>
    <w:family w:val="swiss"/>
    <w:pitch w:val="default"/>
    <w:sig w:usb0="00000000" w:usb1="00000000" w:usb2="00000009" w:usb3="00000000" w:csb0="000001FF" w:csb1="00000000"/>
  </w:font>
  <w:font w:name="SimSun">
    <w:altName w:val="宋体"/>
    <w:panose1 w:val="0201060003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spacing w:after="0" w:line="240" w:lineRule="auto"/>
      <w:jc w:val="center"/>
      <w:rPr>
        <w:color w:val="000000"/>
        <w:sz w:val="22"/>
        <w:szCs w:val="22"/>
      </w:rPr>
    </w:pPr>
  </w:p>
  <w:p>
    <w:pPr>
      <w:tabs>
        <w:tab w:val="center" w:pos="4680"/>
        <w:tab w:val="right" w:pos="9360"/>
      </w:tabs>
      <w:spacing w:after="0" w:line="240" w:lineRule="auto"/>
      <w:rPr>
        <w:color w:val="000000"/>
        <w:sz w:val="22"/>
        <w:szCs w:val="2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spacing w:after="0" w:line="240" w:lineRule="auto"/>
      <w:jc w:val="right"/>
      <w:rPr>
        <w:rFonts w:ascii="Times New Roman" w:hAnsi="Times New Roman" w:eastAsia="Times New Roman" w:cs="Times New Roman"/>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45EB0"/>
    <w:multiLevelType w:val="multilevel"/>
    <w:tmpl w:val="30945EB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d-ID"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name="Body Text 3"/>
    <w:lsdException w:uiPriority="99" w:semiHidden="0" w:name="Body Text Indent 2"/>
    <w:lsdException w:uiPriority="99" w:semiHidden="0"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Calibri" w:hAnsi="Calibri" w:eastAsia="Calibri" w:cs="Calibri"/>
      <w:sz w:val="24"/>
      <w:szCs w:val="24"/>
      <w:lang w:val="id" w:eastAsia="id-ID" w:bidi="ar-SA"/>
    </w:rPr>
  </w:style>
  <w:style w:type="paragraph" w:styleId="2">
    <w:name w:val="heading 1"/>
    <w:basedOn w:val="1"/>
    <w:next w:val="1"/>
    <w:link w:val="27"/>
    <w:qFormat/>
    <w:uiPriority w:val="9"/>
    <w:pPr>
      <w:keepNext/>
      <w:keepLines/>
      <w:spacing w:before="360" w:after="80"/>
      <w:outlineLvl w:val="0"/>
    </w:pPr>
    <w:rPr>
      <w:color w:val="2F5496"/>
      <w:sz w:val="40"/>
      <w:szCs w:val="40"/>
    </w:rPr>
  </w:style>
  <w:style w:type="paragraph" w:styleId="3">
    <w:name w:val="heading 2"/>
    <w:basedOn w:val="1"/>
    <w:next w:val="1"/>
    <w:link w:val="28"/>
    <w:unhideWhenUsed/>
    <w:qFormat/>
    <w:uiPriority w:val="9"/>
    <w:pPr>
      <w:keepNext/>
      <w:keepLines/>
      <w:spacing w:before="160" w:after="80"/>
      <w:outlineLvl w:val="1"/>
    </w:pPr>
    <w:rPr>
      <w:color w:val="2F5496"/>
      <w:sz w:val="32"/>
      <w:szCs w:val="32"/>
    </w:rPr>
  </w:style>
  <w:style w:type="paragraph" w:styleId="4">
    <w:name w:val="heading 3"/>
    <w:basedOn w:val="1"/>
    <w:next w:val="1"/>
    <w:link w:val="29"/>
    <w:unhideWhenUsed/>
    <w:qFormat/>
    <w:uiPriority w:val="9"/>
    <w:pPr>
      <w:keepNext/>
      <w:keepLines/>
      <w:spacing w:before="160" w:after="80"/>
      <w:outlineLvl w:val="2"/>
    </w:pPr>
    <w:rPr>
      <w:color w:val="2F5496"/>
      <w:sz w:val="28"/>
      <w:szCs w:val="28"/>
    </w:rPr>
  </w:style>
  <w:style w:type="paragraph" w:styleId="5">
    <w:name w:val="heading 4"/>
    <w:basedOn w:val="1"/>
    <w:next w:val="1"/>
    <w:link w:val="30"/>
    <w:unhideWhenUsed/>
    <w:qFormat/>
    <w:uiPriority w:val="9"/>
    <w:pPr>
      <w:keepNext/>
      <w:keepLines/>
      <w:spacing w:before="80" w:after="40"/>
      <w:outlineLvl w:val="3"/>
    </w:pPr>
    <w:rPr>
      <w:i/>
      <w:color w:val="2F5496"/>
    </w:rPr>
  </w:style>
  <w:style w:type="paragraph" w:styleId="6">
    <w:name w:val="heading 5"/>
    <w:basedOn w:val="1"/>
    <w:next w:val="1"/>
    <w:link w:val="31"/>
    <w:unhideWhenUsed/>
    <w:qFormat/>
    <w:uiPriority w:val="9"/>
    <w:pPr>
      <w:keepNext/>
      <w:keepLines/>
      <w:spacing w:before="80" w:after="40"/>
      <w:outlineLvl w:val="4"/>
    </w:pPr>
    <w:rPr>
      <w:color w:val="2F5496"/>
    </w:rPr>
  </w:style>
  <w:style w:type="paragraph" w:styleId="7">
    <w:name w:val="heading 6"/>
    <w:basedOn w:val="1"/>
    <w:next w:val="1"/>
    <w:link w:val="32"/>
    <w:unhideWhenUsed/>
    <w:qFormat/>
    <w:uiPriority w:val="9"/>
    <w:pPr>
      <w:keepNext/>
      <w:keepLines/>
      <w:spacing w:before="40" w:after="0"/>
      <w:outlineLvl w:val="5"/>
    </w:pPr>
    <w:rPr>
      <w:i/>
      <w:color w:val="595959"/>
    </w:rPr>
  </w:style>
  <w:style w:type="paragraph" w:styleId="8">
    <w:name w:val="heading 7"/>
    <w:basedOn w:val="1"/>
    <w:next w:val="1"/>
    <w:link w:val="33"/>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5"/>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22">
    <w:name w:val="Default Paragraph Font"/>
    <w:unhideWhenUsed/>
    <w:uiPriority w:val="1"/>
  </w:style>
  <w:style w:type="table" w:default="1" w:styleId="24">
    <w:name w:val="Normal Table"/>
    <w:unhideWhenUsed/>
    <w:uiPriority w:val="99"/>
    <w:tblPr>
      <w:tblLayout w:type="fixed"/>
      <w:tblCellMar>
        <w:top w:w="0" w:type="dxa"/>
        <w:left w:w="108" w:type="dxa"/>
        <w:bottom w:w="0" w:type="dxa"/>
        <w:right w:w="108" w:type="dxa"/>
      </w:tblCellMar>
    </w:tblPr>
  </w:style>
  <w:style w:type="paragraph" w:styleId="11">
    <w:name w:val="Body Text"/>
    <w:basedOn w:val="1"/>
    <w:link w:val="51"/>
    <w:unhideWhenUsed/>
    <w:uiPriority w:val="99"/>
    <w:pPr>
      <w:spacing w:after="0" w:line="240" w:lineRule="auto"/>
      <w:contextualSpacing/>
      <w:jc w:val="both"/>
    </w:pPr>
    <w:rPr>
      <w:rFonts w:ascii="Times New Roman" w:hAnsi="Times New Roman" w:cs="Times New Roman"/>
      <w:i/>
      <w:sz w:val="20"/>
      <w:szCs w:val="20"/>
      <w:lang w:val="en-GB"/>
    </w:rPr>
  </w:style>
  <w:style w:type="paragraph" w:styleId="12">
    <w:name w:val="Body Text 2"/>
    <w:basedOn w:val="1"/>
    <w:link w:val="56"/>
    <w:unhideWhenUsed/>
    <w:uiPriority w:val="99"/>
    <w:pPr>
      <w:spacing w:after="0" w:line="240" w:lineRule="auto"/>
      <w:jc w:val="both"/>
    </w:pPr>
    <w:rPr>
      <w:rFonts w:ascii="Cambria" w:hAnsi="Cambria" w:eastAsia="DengXian" w:cs="Times New Roman"/>
      <w:sz w:val="22"/>
      <w:szCs w:val="22"/>
      <w:lang w:val="en-GB"/>
    </w:rPr>
  </w:style>
  <w:style w:type="paragraph" w:styleId="13">
    <w:name w:val="Body Text Indent"/>
    <w:basedOn w:val="1"/>
    <w:link w:val="52"/>
    <w:unhideWhenUsed/>
    <w:uiPriority w:val="99"/>
    <w:pPr>
      <w:spacing w:line="240" w:lineRule="auto"/>
      <w:ind w:left="450" w:firstLine="543"/>
      <w:contextualSpacing/>
      <w:jc w:val="both"/>
    </w:pPr>
    <w:rPr>
      <w:rFonts w:ascii="Cambria" w:hAnsi="Cambria" w:eastAsia="DengXian" w:cs="Times New Roman"/>
      <w:color w:val="000000"/>
      <w:sz w:val="22"/>
      <w:szCs w:val="22"/>
      <w:lang w:val="zh-CN"/>
    </w:rPr>
  </w:style>
  <w:style w:type="paragraph" w:styleId="14">
    <w:name w:val="Body Text Indent 2"/>
    <w:basedOn w:val="1"/>
    <w:link w:val="53"/>
    <w:unhideWhenUsed/>
    <w:uiPriority w:val="99"/>
    <w:pPr>
      <w:spacing w:after="0" w:line="240" w:lineRule="auto"/>
      <w:ind w:left="567" w:firstLine="709"/>
      <w:contextualSpacing/>
      <w:jc w:val="both"/>
    </w:pPr>
    <w:rPr>
      <w:rFonts w:ascii="Cambria" w:hAnsi="Cambria" w:eastAsia="Times New Roman" w:cs="Times New Roman"/>
      <w:color w:val="000000"/>
      <w:sz w:val="22"/>
      <w:szCs w:val="22"/>
      <w:lang w:eastAsia="zh-CN"/>
    </w:rPr>
  </w:style>
  <w:style w:type="paragraph" w:styleId="15">
    <w:name w:val="Body Text Indent 3"/>
    <w:basedOn w:val="1"/>
    <w:link w:val="55"/>
    <w:unhideWhenUsed/>
    <w:uiPriority w:val="99"/>
    <w:pPr>
      <w:spacing w:line="240" w:lineRule="auto"/>
      <w:ind w:left="567"/>
      <w:jc w:val="both"/>
    </w:pPr>
    <w:rPr>
      <w:rFonts w:ascii="Cambria" w:hAnsi="Cambria" w:eastAsia="DengXian" w:cs="Times New Roman"/>
      <w:bCs/>
      <w:color w:val="000000"/>
      <w:sz w:val="22"/>
      <w:szCs w:val="22"/>
      <w:lang w:val="en-GB"/>
    </w:rPr>
  </w:style>
  <w:style w:type="paragraph" w:styleId="16">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7">
    <w:name w:val="footer"/>
    <w:basedOn w:val="1"/>
    <w:link w:val="48"/>
    <w:unhideWhenUsed/>
    <w:uiPriority w:val="99"/>
    <w:pPr>
      <w:tabs>
        <w:tab w:val="center" w:pos="4680"/>
        <w:tab w:val="right" w:pos="9360"/>
      </w:tabs>
      <w:spacing w:after="0" w:line="240" w:lineRule="auto"/>
    </w:pPr>
    <w:rPr>
      <w:sz w:val="22"/>
      <w:szCs w:val="22"/>
      <w:lang w:val="zh-CN"/>
    </w:rPr>
  </w:style>
  <w:style w:type="paragraph" w:styleId="18">
    <w:name w:val="header"/>
    <w:basedOn w:val="1"/>
    <w:link w:val="47"/>
    <w:unhideWhenUsed/>
    <w:uiPriority w:val="99"/>
    <w:pPr>
      <w:tabs>
        <w:tab w:val="center" w:pos="4680"/>
        <w:tab w:val="right" w:pos="9360"/>
      </w:tabs>
      <w:spacing w:after="0" w:line="240" w:lineRule="auto"/>
    </w:pPr>
    <w:rPr>
      <w:sz w:val="22"/>
      <w:szCs w:val="22"/>
      <w:lang w:val="zh-CN"/>
    </w:rPr>
  </w:style>
  <w:style w:type="paragraph" w:styleId="19">
    <w:name w:val="Normal (Web)"/>
    <w:basedOn w:val="1"/>
    <w:unhideWhenUsed/>
    <w:uiPriority w:val="99"/>
    <w:rPr>
      <w:rFonts w:ascii="Times New Roman" w:hAnsi="Times New Roman" w:cs="Times New Roman"/>
    </w:rPr>
  </w:style>
  <w:style w:type="paragraph" w:styleId="20">
    <w:name w:val="Subtitle"/>
    <w:basedOn w:val="1"/>
    <w:next w:val="1"/>
    <w:link w:val="37"/>
    <w:qFormat/>
    <w:uiPriority w:val="11"/>
    <w:rPr>
      <w:color w:val="595959"/>
      <w:sz w:val="28"/>
      <w:szCs w:val="28"/>
    </w:rPr>
  </w:style>
  <w:style w:type="paragraph" w:styleId="21">
    <w:name w:val="Title"/>
    <w:basedOn w:val="1"/>
    <w:next w:val="1"/>
    <w:link w:val="36"/>
    <w:qFormat/>
    <w:uiPriority w:val="10"/>
    <w:pPr>
      <w:spacing w:after="80" w:line="240" w:lineRule="auto"/>
    </w:pPr>
    <w:rPr>
      <w:sz w:val="56"/>
      <w:szCs w:val="56"/>
    </w:rPr>
  </w:style>
  <w:style w:type="character" w:styleId="23">
    <w:name w:val="Hyperlink"/>
    <w:basedOn w:val="22"/>
    <w:unhideWhenUsed/>
    <w:uiPriority w:val="99"/>
    <w:rPr>
      <w:color w:val="0563C1" w:themeColor="hyperlink"/>
      <w:u w:val="single"/>
      <w14:textFill>
        <w14:solidFill>
          <w14:schemeClr w14:val="hlink"/>
        </w14:solidFill>
      </w14:textFill>
    </w:rPr>
  </w:style>
  <w:style w:type="table" w:styleId="25">
    <w:name w:val="Table Grid"/>
    <w:basedOn w:val="24"/>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26">
    <w:name w:val="TableNormal"/>
    <w:uiPriority w:val="0"/>
    <w:tblPr>
      <w:tblLayout w:type="fixed"/>
      <w:tblCellMar>
        <w:top w:w="0" w:type="dxa"/>
        <w:left w:w="0" w:type="dxa"/>
        <w:bottom w:w="0" w:type="dxa"/>
        <w:right w:w="0" w:type="dxa"/>
      </w:tblCellMar>
    </w:tblPr>
  </w:style>
  <w:style w:type="character" w:customStyle="1" w:styleId="27">
    <w:name w:val="Heading 1 Char"/>
    <w:basedOn w:val="22"/>
    <w:link w:val="2"/>
    <w:uiPriority w:val="9"/>
    <w:rPr>
      <w:rFonts w:asciiTheme="majorHAnsi" w:hAnsiTheme="majorHAnsi" w:eastAsiaTheme="majorEastAsia" w:cstheme="majorBidi"/>
      <w:color w:val="2F5597" w:themeColor="accent1" w:themeShade="BF"/>
      <w:sz w:val="40"/>
      <w:szCs w:val="40"/>
    </w:rPr>
  </w:style>
  <w:style w:type="character" w:customStyle="1" w:styleId="28">
    <w:name w:val="Heading 2 Char"/>
    <w:basedOn w:val="22"/>
    <w:link w:val="3"/>
    <w:semiHidden/>
    <w:uiPriority w:val="9"/>
    <w:rPr>
      <w:rFonts w:asciiTheme="majorHAnsi" w:hAnsiTheme="majorHAnsi" w:eastAsiaTheme="majorEastAsia" w:cstheme="majorBidi"/>
      <w:color w:val="2F5597" w:themeColor="accent1" w:themeShade="BF"/>
      <w:sz w:val="32"/>
      <w:szCs w:val="32"/>
    </w:rPr>
  </w:style>
  <w:style w:type="character" w:customStyle="1" w:styleId="29">
    <w:name w:val="Heading 3 Char"/>
    <w:basedOn w:val="22"/>
    <w:link w:val="4"/>
    <w:semiHidden/>
    <w:uiPriority w:val="9"/>
    <w:rPr>
      <w:rFonts w:eastAsiaTheme="majorEastAsia" w:cstheme="majorBidi"/>
      <w:color w:val="2F5597" w:themeColor="accent1" w:themeShade="BF"/>
      <w:sz w:val="28"/>
      <w:szCs w:val="28"/>
    </w:rPr>
  </w:style>
  <w:style w:type="character" w:customStyle="1" w:styleId="30">
    <w:name w:val="Heading 4 Char"/>
    <w:basedOn w:val="22"/>
    <w:link w:val="5"/>
    <w:semiHidden/>
    <w:uiPriority w:val="9"/>
    <w:rPr>
      <w:rFonts w:eastAsiaTheme="majorEastAsia" w:cstheme="majorBidi"/>
      <w:i/>
      <w:iCs/>
      <w:color w:val="2F5597" w:themeColor="accent1" w:themeShade="BF"/>
    </w:rPr>
  </w:style>
  <w:style w:type="character" w:customStyle="1" w:styleId="31">
    <w:name w:val="Heading 5 Char"/>
    <w:basedOn w:val="22"/>
    <w:link w:val="6"/>
    <w:semiHidden/>
    <w:uiPriority w:val="9"/>
    <w:rPr>
      <w:rFonts w:eastAsiaTheme="majorEastAsia" w:cstheme="majorBidi"/>
      <w:color w:val="2F5597" w:themeColor="accent1" w:themeShade="BF"/>
    </w:rPr>
  </w:style>
  <w:style w:type="character" w:customStyle="1" w:styleId="32">
    <w:name w:val="Heading 6 Char"/>
    <w:basedOn w:val="22"/>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3">
    <w:name w:val="Heading 7 Char"/>
    <w:basedOn w:val="22"/>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Heading 8 Char"/>
    <w:basedOn w:val="22"/>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5">
    <w:name w:val="Heading 9 Char"/>
    <w:basedOn w:val="22"/>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6">
    <w:name w:val="Title Char"/>
    <w:basedOn w:val="22"/>
    <w:link w:val="21"/>
    <w:uiPriority w:val="10"/>
    <w:rPr>
      <w:rFonts w:asciiTheme="majorHAnsi" w:hAnsiTheme="majorHAnsi" w:eastAsiaTheme="majorEastAsia" w:cstheme="majorBidi"/>
      <w:spacing w:val="-10"/>
      <w:kern w:val="28"/>
      <w:sz w:val="56"/>
      <w:szCs w:val="56"/>
    </w:rPr>
  </w:style>
  <w:style w:type="character" w:customStyle="1" w:styleId="37">
    <w:name w:val="Subtitle Char"/>
    <w:basedOn w:val="22"/>
    <w:link w:val="20"/>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8">
    <w:name w:val="Quote1"/>
    <w:basedOn w:val="1"/>
    <w:next w:val="1"/>
    <w:link w:val="3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Kutipan KAR"/>
    <w:basedOn w:val="22"/>
    <w:link w:val="38"/>
    <w:uiPriority w:val="29"/>
    <w:rPr>
      <w:i/>
      <w:iCs/>
      <w:color w:val="404040" w:themeColor="text1" w:themeTint="BF"/>
      <w14:textFill>
        <w14:solidFill>
          <w14:schemeClr w14:val="tx1">
            <w14:lumMod w14:val="75000"/>
            <w14:lumOff w14:val="25000"/>
          </w14:schemeClr>
        </w14:solidFill>
      </w14:textFill>
    </w:rPr>
  </w:style>
  <w:style w:type="paragraph" w:customStyle="1" w:styleId="40">
    <w:name w:val="List Paragraph1"/>
    <w:basedOn w:val="1"/>
    <w:link w:val="46"/>
    <w:qFormat/>
    <w:uiPriority w:val="1"/>
    <w:pPr>
      <w:ind w:left="720"/>
      <w:contextualSpacing/>
    </w:pPr>
  </w:style>
  <w:style w:type="character" w:customStyle="1" w:styleId="41">
    <w:name w:val="Intense Emphasis1"/>
    <w:basedOn w:val="22"/>
    <w:qFormat/>
    <w:uiPriority w:val="21"/>
    <w:rPr>
      <w:i/>
      <w:iCs/>
      <w:color w:val="2F5597" w:themeColor="accent1" w:themeShade="BF"/>
    </w:rPr>
  </w:style>
  <w:style w:type="paragraph" w:customStyle="1" w:styleId="42">
    <w:name w:val="Intense Quote1"/>
    <w:basedOn w:val="1"/>
    <w:next w:val="1"/>
    <w:link w:val="4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3">
    <w:name w:val="Kutipan yang Sering KAR"/>
    <w:basedOn w:val="22"/>
    <w:link w:val="42"/>
    <w:uiPriority w:val="30"/>
    <w:rPr>
      <w:i/>
      <w:iCs/>
      <w:color w:val="2F5597" w:themeColor="accent1" w:themeShade="BF"/>
    </w:rPr>
  </w:style>
  <w:style w:type="character" w:customStyle="1" w:styleId="44">
    <w:name w:val="Intense Reference1"/>
    <w:basedOn w:val="22"/>
    <w:qFormat/>
    <w:uiPriority w:val="32"/>
    <w:rPr>
      <w:b/>
      <w:bCs/>
      <w:smallCaps/>
      <w:color w:val="2F5597" w:themeColor="accent1" w:themeShade="BF"/>
      <w:spacing w:val="5"/>
    </w:rPr>
  </w:style>
  <w:style w:type="character" w:customStyle="1" w:styleId="45">
    <w:name w:val="Unresolved Mention"/>
    <w:basedOn w:val="22"/>
    <w:unhideWhenUsed/>
    <w:uiPriority w:val="99"/>
    <w:rPr>
      <w:color w:val="605E5C"/>
      <w:shd w:val="clear" w:color="auto" w:fill="E1DFDD"/>
    </w:rPr>
  </w:style>
  <w:style w:type="character" w:customStyle="1" w:styleId="46">
    <w:name w:val="Daftar Paragraf KAR"/>
    <w:link w:val="40"/>
    <w:qFormat/>
    <w:locked/>
    <w:uiPriority w:val="1"/>
  </w:style>
  <w:style w:type="character" w:customStyle="1" w:styleId="47">
    <w:name w:val="Header Char"/>
    <w:basedOn w:val="22"/>
    <w:link w:val="18"/>
    <w:uiPriority w:val="99"/>
    <w:rPr>
      <w:sz w:val="22"/>
      <w:szCs w:val="22"/>
      <w:lang w:val="zh-CN"/>
    </w:rPr>
  </w:style>
  <w:style w:type="character" w:customStyle="1" w:styleId="48">
    <w:name w:val="Footer Char"/>
    <w:basedOn w:val="22"/>
    <w:link w:val="17"/>
    <w:uiPriority w:val="99"/>
    <w:rPr>
      <w:sz w:val="22"/>
      <w:szCs w:val="22"/>
      <w:lang w:val="zh-CN"/>
    </w:rPr>
  </w:style>
  <w:style w:type="paragraph" w:customStyle="1" w:styleId="49">
    <w:name w:val="Bibliography1"/>
    <w:basedOn w:val="1"/>
    <w:next w:val="1"/>
    <w:unhideWhenUsed/>
    <w:uiPriority w:val="37"/>
    <w:pPr>
      <w:spacing w:line="259" w:lineRule="auto"/>
    </w:pPr>
    <w:rPr>
      <w:sz w:val="22"/>
      <w:szCs w:val="22"/>
      <w:lang w:val="zh-CN"/>
    </w:rPr>
  </w:style>
  <w:style w:type="table" w:customStyle="1" w:styleId="50">
    <w:name w:val="_Style 44"/>
    <w:basedOn w:val="24"/>
    <w:uiPriority w:val="0"/>
    <w:pPr>
      <w:spacing w:after="0" w:line="240" w:lineRule="auto"/>
    </w:pPr>
    <w:tblPr>
      <w:tblLayout w:type="fixed"/>
    </w:tblPr>
  </w:style>
  <w:style w:type="character" w:customStyle="1" w:styleId="51">
    <w:name w:val="Body Text Char"/>
    <w:basedOn w:val="22"/>
    <w:link w:val="11"/>
    <w:uiPriority w:val="99"/>
    <w:rPr>
      <w:rFonts w:ascii="Times New Roman" w:hAnsi="Times New Roman" w:cs="Times New Roman"/>
      <w:i/>
      <w:lang w:val="en-GB" w:eastAsia="id-ID"/>
    </w:rPr>
  </w:style>
  <w:style w:type="character" w:customStyle="1" w:styleId="52">
    <w:name w:val="Body Text Indent Char"/>
    <w:basedOn w:val="22"/>
    <w:link w:val="13"/>
    <w:uiPriority w:val="99"/>
    <w:rPr>
      <w:rFonts w:ascii="Cambria" w:hAnsi="Cambria" w:eastAsia="DengXian" w:cs="Times New Roman"/>
      <w:color w:val="000000"/>
      <w:sz w:val="22"/>
      <w:szCs w:val="22"/>
      <w:lang w:val="zh-CN" w:eastAsia="id-ID"/>
    </w:rPr>
  </w:style>
  <w:style w:type="character" w:customStyle="1" w:styleId="53">
    <w:name w:val="Body Text Indent 2 Char"/>
    <w:basedOn w:val="22"/>
    <w:link w:val="14"/>
    <w:uiPriority w:val="99"/>
    <w:rPr>
      <w:rFonts w:ascii="Cambria" w:hAnsi="Cambria" w:eastAsia="Times New Roman" w:cs="Times New Roman"/>
      <w:color w:val="000000"/>
      <w:sz w:val="22"/>
      <w:szCs w:val="22"/>
      <w:lang w:val="id" w:eastAsia="zh-CN"/>
    </w:rPr>
  </w:style>
  <w:style w:type="paragraph" w:customStyle="1" w:styleId="54">
    <w:name w:val="List Paragraph"/>
    <w:basedOn w:val="1"/>
    <w:uiPriority w:val="99"/>
    <w:pPr>
      <w:ind w:left="720"/>
      <w:contextualSpacing/>
    </w:pPr>
  </w:style>
  <w:style w:type="character" w:customStyle="1" w:styleId="55">
    <w:name w:val="Body Text Indent 3 Char"/>
    <w:basedOn w:val="22"/>
    <w:link w:val="15"/>
    <w:uiPriority w:val="99"/>
    <w:rPr>
      <w:rFonts w:ascii="Cambria" w:hAnsi="Cambria" w:eastAsia="DengXian" w:cs="Times New Roman"/>
      <w:bCs/>
      <w:color w:val="000000"/>
      <w:sz w:val="22"/>
      <w:szCs w:val="22"/>
      <w:lang w:val="en-GB" w:eastAsia="id-ID"/>
    </w:rPr>
  </w:style>
  <w:style w:type="character" w:customStyle="1" w:styleId="56">
    <w:name w:val="Body Text 2 Char"/>
    <w:basedOn w:val="22"/>
    <w:link w:val="12"/>
    <w:uiPriority w:val="99"/>
    <w:rPr>
      <w:rFonts w:ascii="Cambria" w:hAnsi="Cambria" w:eastAsia="DengXian" w:cs="Times New Roman"/>
      <w:sz w:val="22"/>
      <w:szCs w:val="22"/>
      <w:lang w:val="en-GB" w:eastAsia="id-I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x-none" sz="1400" b="0" i="0" u="none" strike="noStrike" kern="1200" spc="0" baseline="0">
              <a:solidFill>
                <a:schemeClr val="tx1">
                  <a:lumMod val="65000"/>
                  <a:lumOff val="35000"/>
                </a:schemeClr>
              </a:solidFill>
              <a:latin typeface="+mn-lt"/>
              <a:ea typeface="+mn-ea"/>
              <a:cs typeface="+mn-cs"/>
            </a:defRPr>
          </a:pPr>
        </a:p>
      </c:txPr>
    </c:title>
    <c:autoTitleDeleted val="0"/>
    <c:plotArea>
      <c:layout>
        <c:manualLayout>
          <c:layoutTarget val="inner"/>
          <c:xMode val="edge"/>
          <c:yMode val="edge"/>
          <c:x val="0.0751072782568846"/>
          <c:y val="0.13342996567635"/>
          <c:w val="0.91905293088364"/>
          <c:h val="0.669986564179478"/>
        </c:manualLayout>
      </c:layout>
      <c:barChart>
        <c:barDir val="col"/>
        <c:grouping val="stacked"/>
        <c:varyColors val="0"/>
        <c:ser>
          <c:idx val="0"/>
          <c:order val="0"/>
          <c:tx>
            <c:strRef>
              <c:f>Sheet1!$B$1</c:f>
              <c:strCache>
                <c:ptCount val="1"/>
                <c:pt idx="0">
                  <c:v>Penilaian Toleransi Aktivitas</c:v>
                </c:pt>
              </c:strCache>
            </c:strRef>
          </c:tx>
          <c:spPr>
            <a:solidFill>
              <a:schemeClr val="accent1"/>
            </a:solidFill>
            <a:ln>
              <a:noFill/>
            </a:ln>
            <a:effectLst/>
          </c:spPr>
          <c:invertIfNegative val="0"/>
          <c:dLbls>
            <c:delete val="1"/>
          </c:dLbls>
          <c:cat>
            <c:strRef>
              <c:f>Sheet1!$A$2:$A$8</c:f>
              <c:strCache>
                <c:ptCount val="6"/>
                <c:pt idx="0">
                  <c:v>Hari ke-1</c:v>
                </c:pt>
                <c:pt idx="1">
                  <c:v>Hari ke-2</c:v>
                </c:pt>
                <c:pt idx="2">
                  <c:v>Hari ke-3</c:v>
                </c:pt>
                <c:pt idx="3">
                  <c:v>Hari ke-4</c:v>
                </c:pt>
                <c:pt idx="4">
                  <c:v>Hari ke -5</c:v>
                </c:pt>
                <c:pt idx="5">
                  <c:v>Hari ke -6</c:v>
                </c:pt>
              </c:strCache>
            </c:strRef>
          </c:cat>
          <c:val>
            <c:numRef>
              <c:f>Sheet1!$B$2:$B$8</c:f>
              <c:numCache>
                <c:formatCode>General</c:formatCode>
                <c:ptCount val="7"/>
                <c:pt idx="0">
                  <c:v>22</c:v>
                </c:pt>
                <c:pt idx="1">
                  <c:v>22</c:v>
                </c:pt>
                <c:pt idx="2">
                  <c:v>24</c:v>
                </c:pt>
                <c:pt idx="3">
                  <c:v>24</c:v>
                </c:pt>
                <c:pt idx="4">
                  <c:v>26</c:v>
                </c:pt>
                <c:pt idx="5">
                  <c:v>27</c:v>
                </c:pt>
              </c:numCache>
            </c:numRef>
          </c:val>
        </c:ser>
        <c:dLbls>
          <c:showLegendKey val="0"/>
          <c:showVal val="0"/>
          <c:showCatName val="0"/>
          <c:showSerName val="0"/>
          <c:showPercent val="0"/>
          <c:showBubbleSize val="0"/>
        </c:dLbls>
        <c:gapWidth val="150"/>
        <c:overlap val="100"/>
        <c:axId val="318506616"/>
        <c:axId val="318510552"/>
      </c:barChart>
      <c:catAx>
        <c:axId val="318506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p>
        </c:txPr>
        <c:crossAx val="318510552"/>
        <c:crosses val="autoZero"/>
        <c:auto val="1"/>
        <c:lblAlgn val="ctr"/>
        <c:lblOffset val="100"/>
        <c:noMultiLvlLbl val="0"/>
      </c:catAx>
      <c:valAx>
        <c:axId val="318510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p>
        </c:txPr>
        <c:crossAx val="3185066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x-none"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x-none"/>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Appman Spesial Edition</Company>
  <Pages>10</Pages>
  <Words>4090</Words>
  <Characters>23317</Characters>
  <Lines>194</Lines>
  <Paragraphs>54</Paragraphs>
  <TotalTime>0</TotalTime>
  <ScaleCrop>false</ScaleCrop>
  <LinksUpToDate>false</LinksUpToDate>
  <CharactersWithSpaces>27353</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2025-08-03T19:22:00Z</dcterms:created>
  <dc:creator>ACER</dc:creator>
  <cp:lastModifiedBy>iPhone</cp:lastModifiedBy>
  <dcterms:modified xsi:type="dcterms:W3CDTF">2025-08-03T21:23:00Z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8DCB4F096BFCCBCAFA538F68E7E9DBFB_32</vt:lpwstr>
  </property>
  <property fmtid="{D5CDD505-2E9C-101B-9397-08002B2CF9AE}" pid="3" name="KSOProductBuildVer">
    <vt:lpwstr>2052-11.34.13</vt:lpwstr>
  </property>
</Properties>
</file>