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W w:w="8789" w:type="dxa"/>
        <w:jc w:val="center"/>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28"/>
      </w:tblGrid>
      <w:tr>
        <w:trPr>
          <w:jc w:val="center"/>
        </w:trPr>
        <w:tc>
          <w:tcPr>
            <w:tcW w:w="8789" w:type="dxa"/>
            <w:gridSpan w:val="3"/>
            <w:tcBorders>
              <w:bottom w:val="single" w:sz="12" w:space="0" w:color="0070c0"/>
            </w:tcBorders>
          </w:tcPr>
          <w:p>
            <w:pPr>
              <w:pStyle w:val="style0"/>
              <w:spacing w:after="0" w:lineRule="auto" w:line="360"/>
              <w:ind w:right="-82"/>
              <w:rPr>
                <w:rFonts w:ascii="Cambria" w:cs="Times New Roman" w:hAnsi="Cambria"/>
                <w:b/>
                <w:bCs/>
                <w:i/>
                <w:iCs/>
                <w:lang w:val="en-ID"/>
              </w:rPr>
            </w:pPr>
            <w:r>
              <w:rPr>
                <w:rFonts w:cs="Times New Roman" w:hAnsi="Cambria"/>
                <w:b/>
                <w:bCs/>
                <w:i/>
                <w:iCs/>
                <w:sz w:val="24"/>
                <w:szCs w:val="24"/>
                <w:lang w:val="en-US"/>
              </w:rPr>
              <w:t>Nursing care Nursing Care for Elderly Hypertension Patients with Non-Compliance with Taking Medication at Balong Community Health Center, Ponorogo Regency</w:t>
            </w:r>
          </w:p>
        </w:tc>
      </w:tr>
      <w:tr>
        <w:tblPrEx/>
        <w:trPr>
          <w:jc w:val="center"/>
        </w:trPr>
        <w:tc>
          <w:tcPr>
            <w:tcW w:w="8789" w:type="dxa"/>
            <w:gridSpan w:val="3"/>
            <w:tcBorders>
              <w:top w:val="single" w:sz="12" w:space="0" w:color="0070c0"/>
            </w:tcBorders>
          </w:tcPr>
          <w:p>
            <w:pPr>
              <w:pStyle w:val="style0"/>
              <w:spacing w:before="120" w:after="120"/>
              <w:rPr>
                <w:rFonts w:ascii="Cambria" w:cs="Cambria" w:eastAsia="Cambria" w:hAnsi="Cambria"/>
                <w:b/>
                <w:color w:val="000000"/>
                <w:sz w:val="32"/>
                <w:szCs w:val="32"/>
              </w:rPr>
            </w:pPr>
            <w:r>
              <w:rPr>
                <w:rFonts w:ascii="Cambria" w:cs="Cambria" w:eastAsia="Cambria" w:hAnsi="Cambria"/>
                <w:b/>
                <w:color w:val="000000"/>
                <w:lang w:val="id-ID"/>
              </w:rPr>
              <w:t>A</w:t>
            </w:r>
            <w:r>
              <w:rPr>
                <w:rFonts w:cs="Cambria" w:eastAsia="Cambria" w:hAnsi="Cambria"/>
                <w:b/>
                <w:color w:val="000000"/>
                <w:lang w:val="en-US"/>
              </w:rPr>
              <w:t>prilea Nurfitriana</w:t>
            </w:r>
            <w:r>
              <w:rPr>
                <w:rFonts w:ascii="Cambria" w:cs="Cambria" w:eastAsia="Cambria" w:hAnsi="Cambria"/>
                <w:b/>
                <w:color w:val="000000"/>
                <w:vertAlign w:val="superscript"/>
              </w:rPr>
              <w:t>1</w:t>
            </w:r>
            <w:r>
              <w:rPr>
                <w:rFonts w:ascii="Cambria" w:cs="Cambria" w:eastAsia="Cambria" w:hAnsi="Cambria"/>
                <w:b/>
                <w:color w:val="000000"/>
              </w:rPr>
              <w:t xml:space="preserve">*, </w:t>
            </w:r>
            <w:r>
              <w:rPr>
                <w:rFonts w:cs="Cambria" w:eastAsia="Cambria" w:hAnsi="Cambria"/>
                <w:b/>
                <w:color w:val="000000"/>
                <w:lang w:val="en-US"/>
              </w:rPr>
              <w:t>Yustina Purwaningsih</w:t>
            </w:r>
            <w:r>
              <w:rPr>
                <w:rFonts w:ascii="Cambria" w:cs="Cambria" w:eastAsia="Cambria" w:hAnsi="Cambria"/>
                <w:b/>
                <w:color w:val="000000"/>
                <w:vertAlign w:val="superscript"/>
              </w:rPr>
              <w:t>2</w:t>
            </w:r>
            <w:r>
              <w:rPr>
                <w:rFonts w:ascii="Cambria" w:cs="Cambria" w:eastAsia="Cambria" w:hAnsi="Cambria"/>
                <w:b/>
                <w:color w:val="000000"/>
              </w:rPr>
              <w:t xml:space="preserve">, </w:t>
            </w:r>
            <w:r>
              <w:rPr>
                <w:rFonts w:ascii="Cambria" w:cs="Cambria" w:eastAsia="Cambria" w:hAnsi="Cambria"/>
                <w:b/>
                <w:color w:val="000000"/>
                <w:lang w:val="id-ID"/>
              </w:rPr>
              <w:t xml:space="preserve">Agus </w:t>
            </w:r>
            <w:r>
              <w:rPr>
                <w:rFonts w:cs="Cambria" w:eastAsia="Cambria" w:hAnsi="Cambria"/>
                <w:b/>
                <w:color w:val="000000"/>
                <w:lang w:val="en-US"/>
              </w:rPr>
              <w:t>Wiwit Suwanto</w:t>
            </w:r>
            <w:r>
              <w:rPr>
                <w:rFonts w:ascii="Cambria" w:cs="Cambria" w:eastAsia="Cambria" w:hAnsi="Cambria"/>
                <w:b/>
                <w:color w:val="000000"/>
                <w:vertAlign w:val="superscript"/>
              </w:rPr>
              <w:t>3</w:t>
            </w:r>
            <w:r>
              <w:rPr>
                <w:rFonts w:ascii="Cambria" w:cs="Cambria" w:eastAsia="Cambria" w:hAnsi="Cambria"/>
                <w:b/>
                <w:color w:val="000000"/>
                <w:vertAlign w:val="superscript"/>
                <w:lang w:val="id-ID"/>
              </w:rPr>
              <w:t xml:space="preserve"> </w:t>
            </w:r>
          </w:p>
          <w:p>
            <w:pPr>
              <w:pStyle w:val="style0"/>
              <w:spacing w:after="0" w:lineRule="auto" w:line="240"/>
              <w:jc w:val="both"/>
              <w:rPr>
                <w:rFonts w:ascii="Times New Roman" w:cs="Times New Roman" w:hAnsi="Times New Roman"/>
                <w:bCs/>
                <w:lang w:val="id-ID"/>
              </w:rPr>
            </w:pPr>
            <w:r>
              <w:rPr>
                <w:rFonts w:ascii="Cambria" w:cs="Cambria" w:eastAsia="Cambria" w:hAnsi="Cambria"/>
                <w:sz w:val="20"/>
                <w:szCs w:val="20"/>
              </w:rPr>
              <w:t>Correspondensi</w:t>
            </w:r>
            <w:r>
              <w:rPr>
                <w:rFonts w:ascii="Cambria" w:cs="Cambria" w:eastAsia="Cambria" w:hAnsi="Cambria"/>
                <w:sz w:val="20"/>
                <w:szCs w:val="20"/>
              </w:rPr>
              <w:t xml:space="preserve"> e-mail:</w:t>
            </w:r>
            <w:r>
              <w:rPr>
                <w:rFonts w:ascii="Cambria" w:cs="Cambria" w:eastAsia="Cambria" w:hAnsi="Cambria"/>
                <w:sz w:val="20"/>
                <w:szCs w:val="20"/>
                <w:lang w:val="id-ID"/>
              </w:rPr>
              <w:t xml:space="preserve"> </w:t>
            </w:r>
            <w:r>
              <w:rPr>
                <w:rFonts w:ascii="Cambria" w:cs="Cambria" w:eastAsia="Cambria" w:hAnsi="Cambria"/>
                <w:sz w:val="20"/>
                <w:szCs w:val="20"/>
                <w:lang w:val="id-ID"/>
              </w:rPr>
              <w:fldChar w:fldCharType="begin"/>
            </w:r>
            <w:r>
              <w:rPr>
                <w:rFonts w:ascii="Cambria" w:cs="Cambria" w:eastAsia="Cambria" w:hAnsi="Cambria"/>
                <w:sz w:val="20"/>
                <w:szCs w:val="20"/>
                <w:lang w:val="id-ID"/>
              </w:rPr>
              <w:instrText xml:space="preserve"> HYPERLINK "http:// nurfitrianaaprilea@gmail.com" \o "http:// nurfitrianaaprilea@gmail.com"</w:instrText>
            </w:r>
            <w:r>
              <w:rPr>
                <w:rFonts w:ascii="Cambria" w:cs="Cambria" w:eastAsia="Cambria" w:hAnsi="Cambria"/>
                <w:sz w:val="20"/>
                <w:szCs w:val="20"/>
                <w:lang w:val="id-ID"/>
              </w:rPr>
              <w:fldChar w:fldCharType="separate"/>
            </w:r>
            <w:r>
              <w:rPr>
                <w:rStyle w:val="style85"/>
                <w:rFonts w:ascii="Cambria" w:cs="Cambria" w:eastAsia="Cambria" w:hAnsi="Cambria"/>
                <w:sz w:val="20"/>
                <w:szCs w:val="20"/>
                <w:lang w:val="id-ID"/>
              </w:rPr>
              <w:t>nurfitrianaaprilea@gmail.com</w:t>
            </w:r>
            <w:r>
              <w:rPr>
                <w:rFonts w:ascii="Cambria" w:cs="Cambria" w:eastAsia="Cambria" w:hAnsi="Cambria"/>
                <w:sz w:val="20"/>
                <w:szCs w:val="20"/>
                <w:lang w:val="id-ID"/>
              </w:rPr>
              <w:fldChar w:fldCharType="end"/>
            </w:r>
          </w:p>
          <w:p>
            <w:pPr>
              <w:pStyle w:val="style0"/>
              <w:spacing w:after="0" w:lineRule="auto" w:line="240"/>
              <w:ind w:right="-102"/>
              <w:rPr>
                <w:rFonts w:ascii="Cambria" w:cs="Cambria" w:eastAsia="Cambria" w:hAnsi="Cambria"/>
                <w:i/>
                <w:sz w:val="18"/>
                <w:szCs w:val="18"/>
              </w:rPr>
            </w:pPr>
            <w:r>
              <w:rPr>
                <w:rFonts w:ascii="Cambria" w:cs="Cambria" w:eastAsia="Cambria" w:hAnsi="Cambria"/>
                <w:i/>
                <w:sz w:val="18"/>
                <w:szCs w:val="18"/>
                <w:vertAlign w:val="superscript"/>
              </w:rPr>
              <w:t>1</w:t>
            </w:r>
            <w:r>
              <w:rPr>
                <w:rFonts w:ascii="Cambria" w:cs="Cambria" w:eastAsia="Cambria" w:hAnsi="Cambria"/>
                <w:i/>
                <w:sz w:val="18"/>
                <w:szCs w:val="18"/>
                <w:vertAlign w:val="superscript"/>
              </w:rPr>
              <w:t>,</w:t>
            </w:r>
            <w:r>
              <w:rPr>
                <w:rFonts w:ascii="Cambria" w:cs="Cambria" w:eastAsia="Cambria" w:hAnsi="Cambria"/>
                <w:i/>
                <w:sz w:val="18"/>
                <w:szCs w:val="18"/>
                <w:vertAlign w:val="superscript"/>
              </w:rPr>
              <w:t>2</w:t>
            </w:r>
            <w:r>
              <w:rPr>
                <w:rFonts w:ascii="Cambria" w:cs="Cambria" w:eastAsia="Cambria" w:hAnsi="Cambria"/>
                <w:i/>
                <w:sz w:val="18"/>
                <w:szCs w:val="18"/>
                <w:vertAlign w:val="superscript"/>
              </w:rPr>
              <w:t>,3,</w:t>
            </w:r>
            <w:r>
              <w:rPr>
                <w:rFonts w:ascii="Cambria" w:cs="Cambria" w:eastAsia="Cambria" w:hAnsi="Cambria"/>
                <w:i/>
                <w:sz w:val="18"/>
                <w:szCs w:val="18"/>
                <w:vertAlign w:val="superscript"/>
              </w:rPr>
              <w:t xml:space="preserve"> </w:t>
            </w:r>
            <w:r>
              <w:rPr>
                <w:rFonts w:ascii="Cambria" w:cs="Cambria" w:eastAsia="Cambria" w:hAnsi="Cambria"/>
                <w:i/>
                <w:sz w:val="18"/>
                <w:szCs w:val="18"/>
              </w:rPr>
              <w:t xml:space="preserve">Program </w:t>
            </w:r>
            <w:r>
              <w:rPr>
                <w:rFonts w:ascii="Cambria" w:cs="Cambria" w:eastAsia="Cambria" w:hAnsi="Cambria"/>
                <w:i/>
                <w:sz w:val="18"/>
                <w:szCs w:val="18"/>
                <w:lang w:val="id-ID"/>
              </w:rPr>
              <w:t>Studi</w:t>
            </w:r>
            <w:r>
              <w:rPr>
                <w:rFonts w:ascii="Cambria" w:cs="Cambria" w:eastAsia="Cambria" w:hAnsi="Cambria"/>
                <w:i/>
                <w:sz w:val="18"/>
                <w:szCs w:val="18"/>
              </w:rPr>
              <w:t xml:space="preserve"> D3</w:t>
            </w:r>
            <w:r>
              <w:rPr>
                <w:rFonts w:ascii="Cambria" w:cs="Cambria" w:eastAsia="Cambria" w:hAnsi="Cambria"/>
                <w:i/>
                <w:sz w:val="18"/>
                <w:szCs w:val="18"/>
              </w:rPr>
              <w:t xml:space="preserve"> </w:t>
            </w:r>
            <w:r>
              <w:rPr>
                <w:rFonts w:ascii="Cambria" w:cs="Cambria" w:eastAsia="Cambria" w:hAnsi="Cambria"/>
                <w:i/>
                <w:sz w:val="18"/>
                <w:szCs w:val="18"/>
                <w:lang w:val="id-ID"/>
              </w:rPr>
              <w:t>Keperawatan Kampus Kab. Ponorogo</w:t>
            </w:r>
            <w:r>
              <w:rPr>
                <w:rFonts w:ascii="Cambria" w:cs="Cambria" w:eastAsia="Cambria" w:hAnsi="Cambria"/>
                <w:i/>
                <w:sz w:val="18"/>
                <w:szCs w:val="18"/>
              </w:rPr>
              <w:t xml:space="preserve">, </w:t>
            </w:r>
            <w:r>
              <w:rPr>
                <w:rFonts w:ascii="Cambria" w:cs="Cambria" w:eastAsia="Cambria" w:hAnsi="Cambria"/>
                <w:i/>
                <w:sz w:val="18"/>
                <w:szCs w:val="18"/>
                <w:lang w:val="id-ID"/>
              </w:rPr>
              <w:t>Poltekk</w:t>
            </w:r>
            <w:r>
              <w:rPr>
                <w:rFonts w:ascii="Cambria" w:cs="Cambria" w:eastAsia="Cambria" w:hAnsi="Cambria"/>
                <w:i/>
                <w:sz w:val="18"/>
                <w:szCs w:val="18"/>
                <w:lang w:val="id-ID"/>
              </w:rPr>
              <w:t>es</w:t>
            </w:r>
            <w:r>
              <w:rPr>
                <w:rFonts w:ascii="Cambria" w:cs="Cambria" w:eastAsia="Cambria" w:hAnsi="Cambria"/>
                <w:i/>
                <w:sz w:val="18"/>
                <w:szCs w:val="18"/>
              </w:rPr>
              <w:t xml:space="preserve"> </w:t>
            </w:r>
            <w:r>
              <w:rPr>
                <w:rFonts w:ascii="Cambria" w:cs="Cambria" w:eastAsia="Cambria" w:hAnsi="Cambria"/>
                <w:i/>
                <w:sz w:val="18"/>
                <w:szCs w:val="18"/>
                <w:lang w:val="id-ID"/>
              </w:rPr>
              <w:t>Kemenkes</w:t>
            </w:r>
            <w:r>
              <w:rPr>
                <w:rFonts w:ascii="Cambria" w:cs="Cambria" w:eastAsia="Cambria" w:hAnsi="Cambria"/>
                <w:i/>
                <w:sz w:val="18"/>
                <w:szCs w:val="18"/>
              </w:rPr>
              <w:t xml:space="preserve"> Malang</w:t>
            </w:r>
            <w:r>
              <w:rPr>
                <w:rFonts w:ascii="Cambria" w:cs="Cambria" w:eastAsia="Cambria" w:hAnsi="Cambria"/>
                <w:i/>
                <w:sz w:val="18"/>
                <w:szCs w:val="18"/>
              </w:rPr>
              <w:t>, Indonesia</w:t>
            </w:r>
          </w:p>
          <w:p>
            <w:pPr>
              <w:pStyle w:val="style0"/>
              <w:spacing w:after="120"/>
              <w:ind w:right="-102"/>
              <w:rPr>
                <w:rFonts w:ascii="Cambria" w:cs="Cambria" w:eastAsia="Cambria" w:hAnsi="Cambria"/>
                <w:i/>
                <w:color w:val="000000"/>
                <w:sz w:val="20"/>
                <w:szCs w:val="20"/>
              </w:rPr>
            </w:pPr>
          </w:p>
        </w:tc>
      </w:tr>
      <w:tr>
        <w:tblPrEx/>
        <w:trPr>
          <w:trHeight w:val="423" w:hRule="atLeast"/>
          <w:jc w:val="center"/>
        </w:trPr>
        <w:tc>
          <w:tcPr>
            <w:tcW w:w="5778" w:type="dxa"/>
            <w:tcBorders>
              <w:top w:val="single" w:sz="4" w:space="0" w:color="0070c0"/>
              <w:bottom w:val="single" w:sz="4" w:space="0" w:color="0070c0"/>
            </w:tcBorders>
            <w:vAlign w:val="center"/>
          </w:tcPr>
          <w:p>
            <w:pPr>
              <w:pStyle w:val="style0"/>
              <w:rPr>
                <w:rFonts w:ascii="Cambria" w:cs="Cambria" w:eastAsia="Cambria" w:hAnsi="Cambria"/>
                <w:b/>
                <w:i/>
                <w:color w:val="000000"/>
                <w:sz w:val="18"/>
                <w:szCs w:val="18"/>
              </w:rPr>
            </w:pPr>
            <w:r>
              <w:rPr>
                <w:rFonts w:ascii="Cambria" w:cs="Cambria" w:eastAsia="Cambria" w:hAnsi="Cambria"/>
                <w:b/>
                <w:i/>
                <w:color w:val="000000"/>
                <w:sz w:val="18"/>
                <w:szCs w:val="18"/>
              </w:rPr>
              <w:t>ABSTRACT</w:t>
            </w:r>
          </w:p>
        </w:tc>
        <w:tc>
          <w:tcPr>
            <w:tcW w:w="283" w:type="dxa"/>
            <w:tcBorders>
              <w:top w:val="single" w:sz="4" w:space="0" w:color="0070c0"/>
            </w:tcBorders>
            <w:vAlign w:val="center"/>
          </w:tcPr>
          <w:p>
            <w:pPr>
              <w:pStyle w:val="style0"/>
              <w:rPr>
                <w:rFonts w:ascii="Cambria" w:cs="Cambria" w:eastAsia="Cambria" w:hAnsi="Cambria"/>
                <w:b/>
                <w:color w:val="000000"/>
                <w:sz w:val="32"/>
                <w:szCs w:val="32"/>
              </w:rPr>
            </w:pPr>
          </w:p>
        </w:tc>
        <w:tc>
          <w:tcPr>
            <w:tcW w:w="2728" w:type="dxa"/>
            <w:tcBorders>
              <w:top w:val="single" w:sz="4" w:space="0" w:color="0070c0"/>
              <w:bottom w:val="single" w:sz="4" w:space="0" w:color="0070c0"/>
            </w:tcBorders>
            <w:vAlign w:val="center"/>
          </w:tcPr>
          <w:p>
            <w:pPr>
              <w:pStyle w:val="style0"/>
              <w:rPr>
                <w:rFonts w:ascii="Cambria" w:cs="Cambria" w:eastAsia="Cambria" w:hAnsi="Cambria"/>
                <w:b/>
                <w:iCs/>
                <w:color w:val="000000"/>
                <w:sz w:val="18"/>
                <w:szCs w:val="18"/>
              </w:rPr>
            </w:pPr>
            <w:r>
              <w:rPr>
                <w:rFonts w:ascii="Cambria" w:cs="Cambria" w:eastAsia="Cambria" w:hAnsi="Cambria"/>
                <w:b/>
                <w:iCs/>
                <w:color w:val="000000"/>
                <w:sz w:val="18"/>
                <w:szCs w:val="18"/>
              </w:rPr>
              <w:t>ARTICLE INFO</w:t>
            </w:r>
          </w:p>
        </w:tc>
      </w:tr>
      <w:tr>
        <w:tblPrEx/>
        <w:trPr>
          <w:jc w:val="center"/>
        </w:trPr>
        <w:tc>
          <w:tcPr>
            <w:tcW w:w="5778" w:type="dxa"/>
            <w:tcBorders>
              <w:top w:val="single" w:sz="4" w:space="0" w:color="0070c0"/>
              <w:bottom w:val="single" w:sz="4" w:space="0" w:color="0070c0"/>
            </w:tcBorders>
          </w:tcPr>
          <w:p>
            <w:pPr>
              <w:pStyle w:val="style0"/>
              <w:spacing w:after="0" w:lineRule="auto" w:line="240"/>
              <w:jc w:val="both"/>
              <w:rPr>
                <w:rFonts w:ascii="Times New Roman" w:cs="Times New Roman" w:hAnsi="Times New Roman"/>
                <w:bCs/>
                <w:i/>
                <w:iCs/>
              </w:rPr>
            </w:pPr>
            <w:r>
              <w:rPr>
                <w:rFonts w:ascii="Times New Roman" w:cs="Times New Roman" w:hAnsi="Times New Roman"/>
                <w:bCs/>
                <w:i/>
                <w:iCs/>
                <w:lang w:val="en-US"/>
              </w:rPr>
              <w:t>Hypertension is an incurable disease and the biggest cause of death, but hypertension can be controlled with medication compliance to maintain stable blood pressure. This study aims to analyze Nursing Care for Elderly Hypertension with Non-Compliance in Taking Hypertension Medication in the Balong Ponorogo Health Center Work Area. The research design descriptive with a case study approach. Participants in the study were elderly hypertensive aged 60 years and over, patients who have suffered from hypertension for more than 6 months or chronic, patients and families who are able to read and write well, patients who live with their families. Data were collected by interview, observation, physical examination and documentation. The results of the study in the assessment obtained a compliance score of 2 (non-compliant). Interventions to overcome the problem of non-compliance are family support (Health Education) about hypertension, the my therapy application as a medication reminder and family support. The level of medication compliance using the MMAS-8 questionnaire, the evaluation was obtained after the intervention for 7 days, the compliance value increased from non-compliant (value 2) to compliant (value 8). Increased compliance is influenced by the support of Health Education compliance from researchers, cooperative patients so that they are able to control compliance with taking medication well, consistently and can prevent non-compliance with taking medication.</w:t>
            </w:r>
          </w:p>
          <w:p>
            <w:pPr>
              <w:pStyle w:val="style0"/>
              <w:spacing w:after="0" w:lineRule="auto" w:line="240"/>
              <w:jc w:val="both"/>
              <w:rPr>
                <w:rFonts w:ascii="Cambria" w:cs="Times New Roman" w:hAnsi="Cambria"/>
                <w:bCs/>
                <w:sz w:val="20"/>
                <w:szCs w:val="20"/>
              </w:rPr>
            </w:pPr>
          </w:p>
        </w:tc>
        <w:tc>
          <w:tcPr>
            <w:tcW w:w="283" w:type="dxa"/>
            <w:tcBorders/>
          </w:tcPr>
          <w:p>
            <w:pPr>
              <w:pStyle w:val="style0"/>
              <w:jc w:val="both"/>
              <w:rPr>
                <w:rFonts w:ascii="Cambria" w:cs="Cambria" w:eastAsia="Cambria" w:hAnsi="Cambria"/>
                <w:b/>
                <w:color w:val="000000"/>
                <w:sz w:val="32"/>
                <w:szCs w:val="32"/>
              </w:rPr>
            </w:pPr>
          </w:p>
        </w:tc>
        <w:tc>
          <w:tcPr>
            <w:tcW w:w="2728" w:type="dxa"/>
            <w:tcBorders>
              <w:top w:val="single" w:sz="4" w:space="0" w:color="0070c0"/>
              <w:bottom w:val="single" w:sz="4" w:space="0" w:color="0070c0"/>
            </w:tcBorders>
          </w:tcPr>
          <w:p>
            <w:pPr>
              <w:pStyle w:val="style0"/>
              <w:spacing w:before="60"/>
              <w:ind w:right="-102"/>
              <w:rPr>
                <w:rFonts w:ascii="Cambria" w:cs="Cambria" w:eastAsia="Cambria" w:hAnsi="Cambria"/>
                <w:b/>
                <w:i/>
                <w:color w:val="000000"/>
                <w:sz w:val="18"/>
                <w:szCs w:val="18"/>
              </w:rPr>
            </w:pPr>
            <w:r>
              <w:rPr>
                <w:rFonts w:ascii="Cambria" w:cs="Cambria" w:eastAsia="Cambria" w:hAnsi="Cambria"/>
                <w:b/>
                <w:i/>
                <w:color w:val="000000"/>
                <w:sz w:val="18"/>
                <w:szCs w:val="18"/>
              </w:rPr>
              <w:t xml:space="preserve">Keywords: </w:t>
            </w:r>
          </w:p>
          <w:p>
            <w:pPr>
              <w:pStyle w:val="style0"/>
              <w:spacing w:before="60"/>
              <w:ind w:right="-102"/>
              <w:rPr>
                <w:rFonts w:ascii="Cambria" w:cs="Times New Roman" w:hAnsi="Cambria"/>
                <w:bCs/>
                <w:sz w:val="20"/>
                <w:szCs w:val="20"/>
              </w:rPr>
            </w:pPr>
            <w:r>
              <w:rPr>
                <w:rFonts w:ascii="Cambria" w:cs="Cambria" w:eastAsia="Cambria" w:hAnsi="Cambria"/>
                <w:b/>
                <w:i/>
                <w:color w:val="000000"/>
                <w:sz w:val="18"/>
                <w:szCs w:val="18"/>
              </w:rPr>
              <w:br/>
            </w:r>
            <w:r>
              <w:rPr>
                <w:rFonts w:cs="Times New Roman" w:hAnsi="Cambria"/>
                <w:bCs/>
                <w:i/>
                <w:iCs/>
                <w:sz w:val="20"/>
                <w:szCs w:val="20"/>
                <w:lang w:val="en-US"/>
              </w:rPr>
              <w:t>Hypertension, Elderly, non-compliance, support</w:t>
            </w:r>
          </w:p>
          <w:p>
            <w:pPr>
              <w:pStyle w:val="style0"/>
              <w:spacing w:before="60"/>
              <w:ind w:right="-102"/>
              <w:rPr>
                <w:rFonts w:ascii="Cambria" w:cs="Cambria" w:eastAsia="Cambria" w:hAnsi="Cambria"/>
                <w:b/>
                <w:i/>
                <w:color w:val="000000"/>
                <w:sz w:val="18"/>
                <w:szCs w:val="18"/>
              </w:rPr>
            </w:pPr>
            <w:r>
              <w:rPr>
                <w:rFonts w:ascii="Cambria" w:cs="Times New Roman" w:hAnsi="Cambria"/>
                <w:bCs/>
                <w:sz w:val="20"/>
                <w:szCs w:val="20"/>
              </w:rPr>
              <w:t xml:space="preserve"> </w:t>
            </w:r>
          </w:p>
          <w:p>
            <w:pPr>
              <w:pStyle w:val="style0"/>
              <w:spacing w:before="60"/>
              <w:ind w:left="-69" w:right="-102"/>
              <w:rPr>
                <w:rFonts w:ascii="Cambria" w:cs="Cambria" w:eastAsia="Cambria" w:hAnsi="Cambria"/>
                <w:i/>
                <w:color w:val="ffffff"/>
                <w:sz w:val="18"/>
                <w:szCs w:val="18"/>
              </w:rPr>
            </w:pPr>
          </w:p>
          <w:p>
            <w:pPr>
              <w:pStyle w:val="style0"/>
              <w:ind w:right="-102"/>
              <w:rPr>
                <w:rFonts w:ascii="Times New Roman" w:hAnsi="Times New Roman"/>
                <w:i/>
              </w:rPr>
            </w:pPr>
          </w:p>
          <w:p>
            <w:pPr>
              <w:pStyle w:val="style0"/>
              <w:ind w:right="-104"/>
              <w:rPr>
                <w:rFonts w:ascii="Cambria" w:cs="Cambria" w:eastAsia="Cambria" w:hAnsi="Cambria"/>
                <w:i/>
                <w:color w:val="000000"/>
                <w:sz w:val="14"/>
                <w:szCs w:val="14"/>
              </w:rPr>
            </w:pPr>
          </w:p>
        </w:tc>
      </w:tr>
      <w:tr>
        <w:tblPrEx/>
        <w:trPr>
          <w:jc w:val="center"/>
        </w:trPr>
        <w:tc>
          <w:tcPr>
            <w:tcW w:w="8789" w:type="dxa"/>
            <w:gridSpan w:val="3"/>
            <w:tcBorders>
              <w:top w:val="single" w:sz="4" w:space="0" w:color="0070c0"/>
              <w:bottom w:val="single" w:sz="4" w:space="0" w:color="0070c0"/>
            </w:tcBorders>
          </w:tcPr>
          <w:p>
            <w:pPr>
              <w:pStyle w:val="style0"/>
              <w:spacing w:before="120" w:lineRule="auto" w:line="360"/>
              <w:ind w:right="-102"/>
              <w:jc w:val="both"/>
              <w:rPr>
                <w:rFonts w:ascii="Cambria" w:cs="Cambria" w:eastAsia="Cambria" w:hAnsi="Cambria"/>
                <w:b/>
                <w:i/>
                <w:iCs/>
              </w:rPr>
            </w:pPr>
            <w:r>
              <w:rPr>
                <w:rFonts w:cs="Times New Roman" w:hAnsi="Cambria"/>
                <w:b/>
                <w:bCs/>
                <w:i/>
                <w:iCs/>
                <w:sz w:val="24"/>
                <w:szCs w:val="24"/>
                <w:lang w:val="en-US"/>
              </w:rPr>
              <w:t>Asuhan Keperawatan Pada Pasien Lansia Hipertensi dengan Ketidakpatuhan Minum Obat di Puskesmas Balong Kabupaten Ponorogo</w:t>
            </w:r>
          </w:p>
        </w:tc>
      </w:tr>
      <w:tr>
        <w:tblPrEx/>
        <w:trPr>
          <w:trHeight w:val="20" w:hRule="atLeast"/>
          <w:jc w:val="center"/>
        </w:trPr>
        <w:tc>
          <w:tcPr>
            <w:tcW w:w="5778" w:type="dxa"/>
            <w:tcBorders>
              <w:top w:val="single" w:sz="4" w:space="0" w:color="0070c0"/>
              <w:bottom w:val="single" w:sz="4" w:space="0" w:color="0070c0"/>
            </w:tcBorders>
          </w:tcPr>
          <w:p>
            <w:pPr>
              <w:pStyle w:val="style0"/>
              <w:spacing w:before="120" w:after="120"/>
              <w:jc w:val="both"/>
              <w:rPr>
                <w:rFonts w:ascii="Cambria" w:cs="Cambria" w:eastAsia="Cambria" w:hAnsi="Cambria"/>
                <w:b/>
                <w:color w:val="000000"/>
                <w:sz w:val="16"/>
                <w:szCs w:val="16"/>
              </w:rPr>
            </w:pPr>
            <w:r>
              <w:rPr>
                <w:rFonts w:ascii="Cambria" w:cs="Cambria" w:eastAsia="Cambria" w:hAnsi="Cambria"/>
                <w:b/>
                <w:color w:val="000000"/>
                <w:sz w:val="18"/>
                <w:szCs w:val="18"/>
              </w:rPr>
              <w:t>ABSTRAK</w:t>
            </w:r>
          </w:p>
        </w:tc>
        <w:tc>
          <w:tcPr>
            <w:tcW w:w="283" w:type="dxa"/>
            <w:tcBorders/>
          </w:tcPr>
          <w:p>
            <w:pPr>
              <w:pStyle w:val="style0"/>
              <w:jc w:val="both"/>
              <w:rPr>
                <w:rFonts w:ascii="Cambria" w:cs="Cambria" w:eastAsia="Cambria" w:hAnsi="Cambria"/>
                <w:b/>
                <w:color w:val="000000"/>
                <w:sz w:val="32"/>
                <w:szCs w:val="32"/>
              </w:rPr>
            </w:pPr>
          </w:p>
        </w:tc>
        <w:tc>
          <w:tcPr>
            <w:tcW w:w="2728" w:type="dxa"/>
            <w:tcBorders>
              <w:top w:val="single" w:sz="4" w:space="0" w:color="0070c0"/>
              <w:bottom w:val="single" w:sz="4" w:space="0" w:color="0070c0"/>
            </w:tcBorders>
          </w:tcPr>
          <w:p>
            <w:pPr>
              <w:pStyle w:val="style0"/>
              <w:ind w:right="-104"/>
              <w:rPr>
                <w:rFonts w:ascii="Cambria" w:cs="Cambria" w:eastAsia="Cambria" w:hAnsi="Cambria"/>
                <w:b/>
                <w:color w:val="000000"/>
                <w:sz w:val="18"/>
                <w:szCs w:val="18"/>
              </w:rPr>
            </w:pPr>
          </w:p>
        </w:tc>
      </w:tr>
      <w:tr>
        <w:tblPrEx/>
        <w:trPr>
          <w:trHeight w:val="20" w:hRule="atLeast"/>
          <w:jc w:val="center"/>
        </w:trPr>
        <w:tc>
          <w:tcPr>
            <w:tcW w:w="5778" w:type="dxa"/>
            <w:tcBorders>
              <w:top w:val="single" w:sz="4" w:space="0" w:color="0070c0"/>
              <w:bottom w:val="single" w:sz="4" w:space="0" w:color="0070c0"/>
            </w:tcBorders>
          </w:tcPr>
          <w:p>
            <w:pPr>
              <w:pStyle w:val="style0"/>
              <w:spacing w:after="0" w:lineRule="auto" w:line="240"/>
              <w:jc w:val="both"/>
              <w:rPr>
                <w:rFonts w:ascii="Cambria" w:cs="Times New Roman" w:hAnsi="Cambria"/>
                <w:bCs/>
                <w:sz w:val="20"/>
                <w:szCs w:val="20"/>
              </w:rPr>
            </w:pPr>
            <w:r>
              <w:rPr>
                <w:rFonts w:ascii="Cambria" w:cs="Times New Roman" w:hAnsi="Cambria"/>
                <w:bCs/>
                <w:sz w:val="20"/>
                <w:szCs w:val="20"/>
              </w:rPr>
              <w:t xml:space="preserve"> </w:t>
            </w:r>
            <w:r>
              <w:rPr>
                <w:rFonts w:cs="Times New Roman" w:hAnsi="Cambria"/>
                <w:bCs/>
                <w:sz w:val="20"/>
                <w:szCs w:val="20"/>
                <w:lang w:val="en-US"/>
              </w:rPr>
              <w:t xml:space="preserve">Hipertensi merupakan penyakit yang tidak dapat disembuhkan dan penyebab kematian terbesar, namun hipertensi dapat dikendalikan dengan kepatuhan minum obat untuk menjaga kestabilan tekanan darah. Penelitian ini bertujuan untuk menganalisis Asuhan Keperawatan Lansia Hipertensi dengan Ketidakpatuhan Minum Obat Hipertensi di Wilayah Kerja Puskesmas Balong Ponorogo. Desain penelitian deskriptif dengan pendekatan studi kasus. Partisipan pada penelitian adalah Lansia hipertensi berusia 60 tahun ke atas, pasien yang menderita hipertensi lebih dari 6 bulan atau kronis. Data yang dikumpulkan dengan cara wawancara, observasi, pemeriksaan fisik dan dokumentasi. Hasil penelitian pada pengkajian didapatkan skore kepatuhan 2 (tidak patuh). Diagnosa keperawatan adalah ketidak patuhan minum obat. Intervensi untuk mengatasi masalah ketidakpatuhan yaitu dukungan keluarga (Health Education) tentang penyakit hipertensi, aplikasi my therapy pengingat pengobatan dan  family support. Implementasi dilakukan selama 7 hari. Evaluasi didapatkan setelah dilakukan intervensi selama 7 hari, nilai kepatuhan meningkat dari  tidak patuh (nilai 2) menjadi patuh (nilai 8). Peningkatan kepatuhan dipengaruhi oleh dukungan kepatuhan Health Education dari peneliti, pasien yang kooperatif sehingga mampu mengontrol kepatuhan minum obat dengan baik, konsisten dan dapat mencegah ketidakpatuhan minum obat. </w:t>
            </w:r>
            <w:r>
              <w:rPr>
                <w:rFonts w:ascii="Cambria" w:cs="Times New Roman" w:hAnsi="Cambria"/>
                <w:bCs/>
                <w:sz w:val="20"/>
                <w:szCs w:val="20"/>
              </w:rPr>
              <w:t>.</w:t>
            </w:r>
          </w:p>
          <w:p>
            <w:pPr>
              <w:pStyle w:val="style0"/>
              <w:spacing w:after="0" w:lineRule="auto" w:line="240"/>
              <w:jc w:val="both"/>
              <w:rPr>
                <w:rFonts w:ascii="Cambria" w:cs="Times New Roman" w:hAnsi="Cambria"/>
                <w:bCs/>
                <w:sz w:val="20"/>
                <w:szCs w:val="20"/>
              </w:rPr>
            </w:pPr>
          </w:p>
        </w:tc>
        <w:tc>
          <w:tcPr>
            <w:tcW w:w="283" w:type="dxa"/>
            <w:tcBorders/>
          </w:tcPr>
          <w:p>
            <w:pPr>
              <w:pStyle w:val="style0"/>
              <w:jc w:val="both"/>
              <w:rPr>
                <w:rFonts w:ascii="Cambria" w:cs="Cambria" w:eastAsia="Cambria" w:hAnsi="Cambria"/>
                <w:b/>
                <w:color w:val="000000"/>
                <w:sz w:val="32"/>
                <w:szCs w:val="32"/>
              </w:rPr>
            </w:pPr>
          </w:p>
        </w:tc>
        <w:tc>
          <w:tcPr>
            <w:tcW w:w="2728" w:type="dxa"/>
            <w:tcBorders>
              <w:top w:val="single" w:sz="4" w:space="0" w:color="0070c0"/>
              <w:bottom w:val="single" w:sz="4" w:space="0" w:color="0070c0"/>
            </w:tcBorders>
          </w:tcPr>
          <w:p>
            <w:pPr>
              <w:pStyle w:val="style0"/>
              <w:ind w:right="-104"/>
              <w:rPr>
                <w:rFonts w:ascii="Cambria" w:cs="Cambria" w:eastAsia="Cambria" w:hAnsi="Cambria"/>
                <w:b/>
                <w:color w:val="000000"/>
                <w:sz w:val="18"/>
                <w:szCs w:val="18"/>
                <w:lang w:val="id-ID"/>
              </w:rPr>
            </w:pPr>
            <w:r>
              <w:rPr>
                <w:rFonts w:ascii="Cambria" w:cs="Cambria" w:eastAsia="Cambria" w:hAnsi="Cambria"/>
                <w:b/>
                <w:color w:val="000000"/>
                <w:sz w:val="18"/>
                <w:szCs w:val="18"/>
              </w:rPr>
              <w:t>Kata K</w:t>
            </w:r>
            <w:r>
              <w:rPr>
                <w:rFonts w:ascii="Cambria" w:cs="Cambria" w:eastAsia="Cambria" w:hAnsi="Cambria"/>
                <w:b/>
                <w:color w:val="000000"/>
                <w:sz w:val="18"/>
                <w:szCs w:val="18"/>
                <w:lang w:val="id-ID"/>
              </w:rPr>
              <w:t>unci:</w:t>
            </w:r>
          </w:p>
          <w:p>
            <w:pPr>
              <w:pStyle w:val="style0"/>
              <w:ind w:left="-69"/>
              <w:rPr>
                <w:rFonts w:ascii="Cambria" w:cs="Cambria" w:eastAsia="Cambria" w:hAnsi="Cambria"/>
                <w:bCs/>
                <w:color w:val="000000"/>
                <w:sz w:val="14"/>
                <w:szCs w:val="14"/>
              </w:rPr>
            </w:pPr>
            <w:r>
              <w:rPr>
                <w:rFonts w:cs="Times New Roman" w:hAnsi="Cambria"/>
                <w:bCs/>
                <w:sz w:val="20"/>
                <w:szCs w:val="20"/>
                <w:lang w:val="en-US"/>
              </w:rPr>
              <w:t xml:space="preserve">Hipertensi, Lansia, ketidakpatuhan , Dukungan </w:t>
            </w:r>
          </w:p>
          <w:p>
            <w:pPr>
              <w:pStyle w:val="style0"/>
              <w:ind w:left="-69"/>
              <w:rPr>
                <w:rFonts w:ascii="Cambria" w:cs="Cambria" w:eastAsia="Cambria" w:hAnsi="Cambria"/>
                <w:bCs/>
                <w:color w:val="000000"/>
                <w:sz w:val="14"/>
                <w:szCs w:val="14"/>
              </w:rPr>
            </w:pPr>
          </w:p>
        </w:tc>
      </w:tr>
      <w:tr>
        <w:tblPrEx/>
        <w:trPr>
          <w:trHeight w:val="20" w:hRule="atLeast"/>
          <w:jc w:val="center"/>
        </w:trPr>
        <w:tc>
          <w:tcPr>
            <w:tcW w:w="5778" w:type="dxa"/>
            <w:tcBorders>
              <w:top w:val="single" w:sz="4" w:space="0" w:color="0070c0"/>
              <w:bottom w:val="single" w:sz="4" w:space="0" w:color="0070c0"/>
            </w:tcBorders>
          </w:tcPr>
          <w:p>
            <w:pPr>
              <w:pStyle w:val="style0"/>
              <w:tabs>
                <w:tab w:val="left" w:leader="none" w:pos="2592"/>
              </w:tabs>
              <w:spacing w:before="120" w:after="120" w:lineRule="auto" w:line="240"/>
              <w:jc w:val="both"/>
              <w:rPr>
                <w:rFonts w:ascii="Quattrocento Sans" w:cs="Quattrocento Sans" w:eastAsia="Quattrocento Sans" w:hAnsi="Quattrocento Sans"/>
                <w:b/>
                <w:i/>
                <w:color w:val="0070c0"/>
              </w:rPr>
            </w:pPr>
            <w:r>
              <w:rPr>
                <w:rFonts w:ascii="Cambria" w:cs="Cambria" w:eastAsia="Cambria" w:hAnsi="Cambria"/>
                <w:color w:val="ffffff"/>
                <w:sz w:val="18"/>
                <w:szCs w:val="18"/>
              </w:rPr>
              <w:t xml:space="preserve">DOI: </w:t>
            </w:r>
          </w:p>
        </w:tc>
        <w:tc>
          <w:tcPr>
            <w:tcW w:w="283" w:type="dxa"/>
            <w:tcBorders>
              <w:bottom w:val="single" w:sz="4" w:space="0" w:color="0070c0"/>
            </w:tcBorders>
          </w:tcPr>
          <w:p>
            <w:pPr>
              <w:pStyle w:val="style0"/>
              <w:jc w:val="both"/>
              <w:rPr>
                <w:rFonts w:ascii="Cambria" w:cs="Cambria" w:eastAsia="Cambria" w:hAnsi="Cambria"/>
                <w:b/>
                <w:color w:val="000000"/>
                <w:sz w:val="32"/>
                <w:szCs w:val="32"/>
              </w:rPr>
            </w:pPr>
          </w:p>
        </w:tc>
        <w:tc>
          <w:tcPr>
            <w:tcW w:w="2728" w:type="dxa"/>
            <w:tcBorders>
              <w:top w:val="single" w:sz="4" w:space="0" w:color="0070c0"/>
              <w:bottom w:val="single" w:sz="4" w:space="0" w:color="0070c0"/>
            </w:tcBorders>
          </w:tcPr>
          <w:p>
            <w:pPr>
              <w:pStyle w:val="style0"/>
              <w:ind w:right="-104"/>
              <w:rPr>
                <w:rFonts w:ascii="Cambria" w:cs="Cambria" w:eastAsia="Cambria" w:hAnsi="Cambria"/>
                <w:b/>
                <w:color w:val="000000"/>
                <w:sz w:val="18"/>
                <w:szCs w:val="18"/>
              </w:rPr>
            </w:pPr>
          </w:p>
        </w:tc>
      </w:tr>
    </w:tbl>
    <w:p>
      <w:pPr>
        <w:pStyle w:val="style0"/>
        <w:rPr>
          <w:rFonts w:ascii="Cambria" w:cs="Cambria" w:eastAsia="Cambria" w:hAnsi="Cambria"/>
          <w:b/>
          <w:color w:val="000000"/>
          <w:sz w:val="24"/>
          <w:szCs w:val="24"/>
          <w:lang w:val="id-ID"/>
        </w:rPr>
      </w:pPr>
      <w:r>
        <w:rPr>
          <w:rFonts w:ascii="Cambria" w:cs="Cambria" w:eastAsia="Cambria" w:hAnsi="Cambria"/>
          <w:b/>
          <w:color w:val="000000"/>
          <w:sz w:val="24"/>
          <w:szCs w:val="24"/>
          <w:lang w:val="id-ID"/>
        </w:rPr>
        <w:t xml:space="preserve">Pendahuluan </w:t>
      </w:r>
    </w:p>
    <w:p>
      <w:pPr>
        <w:pStyle w:val="style0"/>
        <w:spacing w:after="0" w:lineRule="auto" w:line="360"/>
        <w:ind w:firstLine="720"/>
        <w:jc w:val="both"/>
        <w:rPr>
          <w:rFonts w:ascii="Cambria" w:cs="Times New Roman" w:hAnsi="Cambria"/>
          <w:bCs/>
        </w:rPr>
      </w:pPr>
      <w:r>
        <w:rPr>
          <w:rFonts w:cs="Times New Roman" w:hAnsi="Cambria"/>
          <w:bCs/>
          <w:lang w:val="en-US"/>
        </w:rPr>
        <w:t xml:space="preserve"> Hipertensi merupakan penyakit yang tidak dapat disembuhkan dan penyebab kematian terbesar, pengendalian hipertensi memang penting untuk mencegah dampak serius seperti stroke, serangan jantung, gagal jantung, dan kematian. Kepatuhan dalam minum obat dan rutin mengontrol tekanan darah merupakan langkah yang krusial dalam menjaga kesehatan, terutama pada lansia. Tetap menjalani gaya hidup sehat juga dapat mendukung upaya pengendalian hipertensi untuk mencegah dampak serius seperti stroke, serangan jantung, dan gagal jantung (Prastika &amp; Siyam, 2021).</w:t>
      </w:r>
    </w:p>
    <w:p>
      <w:pPr>
        <w:pStyle w:val="style0"/>
        <w:spacing w:after="0" w:lineRule="auto" w:line="360"/>
        <w:ind w:firstLine="720"/>
        <w:jc w:val="both"/>
        <w:rPr>
          <w:rFonts w:ascii="Cambria" w:cs="Times New Roman" w:hAnsi="Cambria"/>
          <w:bCs/>
        </w:rPr>
      </w:pPr>
      <w:r>
        <w:rPr>
          <w:rFonts w:cs="Times New Roman" w:hAnsi="Cambria"/>
          <w:bCs/>
          <w:lang w:val="en-US"/>
        </w:rPr>
        <w:t xml:space="preserve">Menurut World Health Oganization (WHO), lansia yaitu seseorang yang berusia 60 tahun keatas. Lansia merupakan seseorang yang masuk ke tahap akhir dalam kehidupannya. Pada sutau proses ini disebut anging rocess atau biasa disebut proses penuaan (Manafe &amp; Berhimpon, 2022).  Hipertensi merupakan penyakit yang banyak diderita pada seseorang lansia karena terjadi penurunan fungsi tubuh seiring bertambahnya usia. Gaya hidup yang salah bisa menyebabkan tekanan darah naik seperti pola makan dengan garam tinggi, kurangnya aktivitas fisik, dan kelebihan berat badan atau obesitas (Suarayasa, Hidayat, &amp; Gau, 2023). World Health Organization (WHO) melaporkan prevalensi partisipan hipertensi sekitar 1,3 miliar. Sekitar 10,8 juta jiwa pada tahun 2019 meninggal dunia akibat hipertensi, prevalensi partisipan hipertensi pada usia 30-79 tahun meningkat pada tahun 2023 menjadi 1,28 miliar. Diperkirakan 46% orang Lansia penderita hipertensi tidak menyadari bahwa mereka mengidap penyakit tersebut. Kurang dari separuh Lansia (42%) penderita hipertensi didiagnosis dan diobati. Sekitar 1 dari 5 orang dewasa (21%) dengan hipertensi dapat mengendalikannya. Hipertensi merupakan penyebab utama kematian dini di seluruh dunia. </w:t>
      </w:r>
    </w:p>
    <w:p>
      <w:pPr>
        <w:pStyle w:val="style0"/>
        <w:spacing w:after="0" w:lineRule="auto" w:line="360"/>
        <w:ind w:firstLine="720"/>
        <w:jc w:val="both"/>
        <w:rPr>
          <w:rFonts w:ascii="Cambria" w:cs="Times New Roman" w:hAnsi="Cambria"/>
          <w:bCs/>
        </w:rPr>
      </w:pPr>
      <w:r>
        <w:rPr>
          <w:rFonts w:cs="Times New Roman" w:hAnsi="Cambria"/>
          <w:bCs/>
          <w:lang w:val="en-US"/>
        </w:rPr>
        <w:t>Hipertensi terjadi ketika tekanan darah melebihi batas normal, dapat menyebabkan masalah serius seperti stroke, penyakit ginjal, serangan jantung, bahkan dapat berujung pada kematian. Faktor pertambahan usia pada lansia mempengaruhi elastisitas pembuluh darah, meningkatkan resistensi, dan akhirnya meningkatkan tekanan darah. Konsumsi obat anti hipertensi dianggap sebagai terapi untuk menstabilkan tekanan darah, dengan kepatuhan minum obat menjadi kunci keberhasilan terapi. Faktor-faktor seperti ketidakmunculan gejala pada hipertensi, kesibukan bekerja, penurunan daya ingat terkait waktu minum obat dan dosis yang benar pada lansia, efek samping obat, menghentikan pengobatan tanpa keluhan, dan durasi pengobatan yang lama diidentifikasi sebagai penyebab ketidakpatuhan minum obat anti hipertensi. (Rini Kresti Sundari, 2023).</w:t>
      </w:r>
    </w:p>
    <w:p>
      <w:pPr>
        <w:pStyle w:val="style0"/>
        <w:spacing w:after="0" w:lineRule="auto" w:line="360"/>
        <w:ind w:firstLine="720"/>
        <w:jc w:val="both"/>
        <w:rPr>
          <w:rFonts w:ascii="Cambria" w:cs="Times New Roman" w:hAnsi="Cambria"/>
          <w:bCs/>
        </w:rPr>
      </w:pPr>
      <w:r>
        <w:rPr>
          <w:rFonts w:cs="Times New Roman" w:hAnsi="Cambria"/>
          <w:bCs/>
          <w:lang w:val="en-US"/>
        </w:rPr>
        <w:t>Solusi dari hipertensi dengan ketidakpatuhan minum obat adalah edukasi mengenai ketidakpatuhan minum obat dapat membantu meningkatkan kepatuhan penderita. Meskipun efektifitasnya bervariasi, pemberian edukasi secara signifikan dapat meningkatkan pengetahuan dan sikap terhadap hipertensi. Penting untuk terus mengembangkan metode edukasi yang lebih efektif untuk memaksimalkan dampaknya. Metode edukasi melalui pemaparan materi dan pembagian leaflet, melibatkan masyarakat seperti kader posyandu, merupakan pendekatan yang baik. Ini memungkinkan interaksi langsung dan memberikan kesempatan kepada masyarakat untuk bertanya, meningkatkan pemahaman, dan menyelesaikan masalah terkait ketidakpatuhan minum obat antihipertensi. Upaya kolaboratif semacam ini dapat berkontribusi pada peningkatan kepatuhan dan pemahaman mengenai pengelolaan hipertensi (Ismunandar Wahyu Kindang, 2024).</w:t>
      </w:r>
    </w:p>
    <w:p>
      <w:pPr>
        <w:pStyle w:val="style0"/>
        <w:spacing w:after="0" w:lineRule="auto" w:line="360"/>
        <w:ind w:firstLine="720"/>
        <w:jc w:val="both"/>
        <w:rPr>
          <w:rFonts w:ascii="Cambria" w:cs="Times New Roman" w:hAnsi="Cambria"/>
          <w:bCs/>
        </w:rPr>
      </w:pPr>
      <w:r>
        <w:rPr>
          <w:rFonts w:cs="Times New Roman" w:hAnsi="Cambria"/>
          <w:bCs/>
          <w:lang w:val="en-US"/>
        </w:rPr>
        <w:t xml:space="preserve">peneliti akan melakukan beberapa metode untuk mencegah dan menangani ketidakpatuhan minum obat yaitu aplikasi My Therapy Pengingat dan Pencatat Minum Obat adalah salah satu aplikasi pengingat minum obat yang dapat meningkatkan pemahaman lebih baik terhadap pengobatan yang dijalani. Aplikasi ini menggabungkan pelacak pil, pelacak suasana hati, dan jurnal kesehatan,misalnya dengan pelacak berat badan, aplikasi pengingat pengobatan ini memungkinkan keberhasilan perawatan. Familly Support merupakan metode dalam bentuk dukungan sosial dari keluarga dalam pelayanan kesehatan untuk mencapai keluarga yang sehat. Anggota keluarga dapat membantu memberikan informasi tentang penyaki serta mengingatkan waktu minum obat (Sri Endah Handayani, Husnul Warnida, &amp;Triswanto Sentat, 2022). </w:t>
      </w:r>
      <w:r>
        <w:rPr>
          <w:rFonts w:ascii="Cambria" w:cs="Times New Roman" w:hAnsi="Cambria"/>
          <w:bCs/>
        </w:rPr>
        <w:t xml:space="preserve"> </w:t>
      </w:r>
    </w:p>
    <w:p>
      <w:pPr>
        <w:pStyle w:val="style0"/>
        <w:rPr>
          <w:rFonts w:ascii="Cambria" w:cs="Cambria" w:eastAsia="Cambria" w:hAnsi="Cambria"/>
          <w:b/>
          <w:color w:val="000000"/>
          <w:sz w:val="24"/>
          <w:szCs w:val="24"/>
          <w:lang w:val="id-ID"/>
        </w:rPr>
      </w:pPr>
      <w:r>
        <w:rPr>
          <w:rFonts w:ascii="Cambria" w:cs="Cambria" w:eastAsia="Cambria" w:hAnsi="Cambria"/>
          <w:b/>
          <w:color w:val="000000"/>
          <w:sz w:val="24"/>
          <w:szCs w:val="24"/>
          <w:lang w:val="id-ID"/>
        </w:rPr>
        <w:t xml:space="preserve">Metode </w:t>
      </w:r>
    </w:p>
    <w:p>
      <w:pPr>
        <w:pStyle w:val="style0"/>
        <w:spacing w:after="0" w:lineRule="auto" w:line="360"/>
        <w:ind w:firstLine="467"/>
        <w:jc w:val="both"/>
        <w:rPr>
          <w:rFonts w:ascii="Cambria" w:cs="Times New Roman" w:eastAsia="Times New Roman" w:hAnsi="Cambria"/>
          <w:bCs/>
          <w:noProof/>
          <w:lang w:val="id-ID"/>
        </w:rPr>
      </w:pPr>
      <w:r>
        <w:rPr>
          <w:rFonts w:cs="Times New Roman" w:eastAsia="Times New Roman" w:hAnsi="Cambria"/>
          <w:bCs/>
          <w:noProof/>
          <w:lang w:val="en-US"/>
        </w:rPr>
        <w:t>Metode adalah cara yang tepat untuk mencapai tujuan penelitian yang diuraikan dengan langkah kegiatan yang akan dikerjakan. Pada proposal ini, metode diuraikan secara ringkas dan disesuaikan dengan tujuan. Penelitian kualitatif mempunyai metode yang berbeda karena bertujuan untuk menjelaskan fenomena yang terjadi dan yang tidak dapat diungkapkan dengan pernyataan numerik (angka) (Pradono, 2018).</w:t>
      </w:r>
    </w:p>
    <w:p>
      <w:pPr>
        <w:pStyle w:val="style0"/>
        <w:spacing w:after="0" w:lineRule="auto" w:line="360"/>
        <w:ind w:firstLine="467"/>
        <w:jc w:val="both"/>
        <w:rPr>
          <w:rFonts w:ascii="Cambria" w:cs="Cambria" w:eastAsia="Cambria" w:hAnsi="Cambria"/>
          <w:b/>
          <w:color w:val="000000"/>
          <w:sz w:val="24"/>
          <w:szCs w:val="24"/>
          <w:lang w:val="id-ID"/>
        </w:rPr>
      </w:pPr>
      <w:r>
        <w:rPr>
          <w:rFonts w:cs="Times New Roman" w:eastAsia="Times New Roman" w:hAnsi="Cambria"/>
          <w:bCs/>
          <w:noProof/>
          <w:lang w:val="en-US"/>
        </w:rPr>
        <w:t xml:space="preserve">Penelitian ini menggunakan desain studi kasus deskritif yang bertujuan untuk mendeskripsikan asuhan keperawatan Hipertensi pada lansia dengan ketidakpatuhan minum obat. Pendekatan yang digunakan pada studi kasus ini adalah proses asuahan keperawatan yang meliputi pengkajian, diagnosa, intervensi, implementasi dan evaluasi keperawatan. </w:t>
      </w:r>
    </w:p>
    <w:p>
      <w:pPr>
        <w:pStyle w:val="style0"/>
        <w:rPr>
          <w:lang w:val="id-ID"/>
        </w:rPr>
      </w:pPr>
      <w:r>
        <w:rPr>
          <w:rFonts w:ascii="Cambria" w:cs="Cambria" w:eastAsia="Cambria" w:hAnsi="Cambria"/>
          <w:b/>
          <w:color w:val="000000"/>
          <w:sz w:val="24"/>
          <w:szCs w:val="24"/>
        </w:rPr>
        <w:t>Hasil</w:t>
      </w:r>
      <w:r>
        <w:rPr>
          <w:lang w:val="id-ID"/>
        </w:rPr>
        <w:t xml:space="preserve"> </w:t>
      </w:r>
    </w:p>
    <w:p>
      <w:pPr>
        <w:pStyle w:val="style0"/>
        <w:spacing w:after="0" w:lineRule="auto" w:line="360"/>
        <w:jc w:val="both"/>
        <w:rPr>
          <w:rFonts w:ascii="Cambria" w:cs="Times New Roman" w:eastAsia="Times New Roman" w:hAnsi="Cambria"/>
          <w:bCs/>
          <w:noProof/>
          <w:lang w:val="id-ID"/>
        </w:rPr>
      </w:pPr>
      <w:r>
        <w:rPr>
          <w:rFonts w:cs="Times New Roman" w:eastAsia="Times New Roman" w:hAnsi="Cambria"/>
          <w:bCs/>
          <w:noProof/>
          <w:lang w:val="en-US"/>
        </w:rPr>
        <w:t>Hasil evaluasi asuhan keperawatan pada Tn. S adalah sebagai berikut :</w:t>
      </w:r>
    </w:p>
    <w:p>
      <w:pPr>
        <w:pStyle w:val="style0"/>
        <w:spacing w:after="0" w:lineRule="auto" w:line="360"/>
        <w:jc w:val="both"/>
        <w:rPr>
          <w:rFonts w:ascii="Cambria" w:cs="Times New Roman" w:eastAsia="Times New Roman" w:hAnsi="Cambria"/>
          <w:bCs/>
          <w:noProof/>
          <w:lang w:val="id-ID"/>
        </w:rPr>
      </w:pPr>
      <w:r>
        <w:rPr>
          <w:rFonts w:cs="Times New Roman" w:eastAsia="Times New Roman" w:hAnsi="Cambria"/>
          <w:bCs/>
          <w:noProof/>
          <w:lang w:val="en-US"/>
        </w:rPr>
        <w:t>Hasil Observasi Kepatuhan Minum Obat</w:t>
      </w:r>
    </w:p>
    <w:p>
      <w:pPr>
        <w:pStyle w:val="style0"/>
        <w:spacing w:after="0" w:lineRule="auto" w:line="360"/>
        <w:ind w:firstLine="467"/>
        <w:jc w:val="center"/>
        <w:rPr>
          <w:rFonts w:ascii="Cambria" w:cs="Times New Roman" w:eastAsia="Times New Roman" w:hAnsi="Cambria"/>
          <w:bCs/>
          <w:noProof/>
          <w:lang w:val="id-ID"/>
        </w:rPr>
      </w:pPr>
      <w:r>
        <w:rPr>
          <w:rFonts w:cs="Times New Roman" w:eastAsia="Times New Roman" w:hAnsi="Cambria"/>
          <w:bCs/>
          <w:noProof/>
          <w:lang w:val="en-US"/>
        </w:rPr>
        <w:t xml:space="preserve"> </w:t>
      </w:r>
      <w:r>
        <w:rPr/>
        <w:drawing>
          <wp:inline distL="0" distT="0" distB="0" distR="0">
            <wp:extent cx="2692400" cy="1536986"/>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2692400" cy="1536986"/>
                    </a:xfrm>
                    <a:prstGeom prst="rect"/>
                  </pic:spPr>
                </pic:pic>
              </a:graphicData>
            </a:graphic>
          </wp:inline>
        </w:drawing>
      </w:r>
    </w:p>
    <w:p>
      <w:pPr>
        <w:pStyle w:val="style0"/>
        <w:spacing w:after="0" w:lineRule="auto" w:line="360"/>
        <w:ind w:firstLine="467"/>
        <w:jc w:val="both"/>
        <w:rPr>
          <w:rFonts w:ascii="Cambria" w:cs="Times New Roman" w:eastAsia="Times New Roman" w:hAnsi="Cambria"/>
          <w:bCs/>
          <w:noProof/>
          <w:lang w:val="id-ID"/>
        </w:rPr>
      </w:pPr>
    </w:p>
    <w:p>
      <w:pPr>
        <w:pStyle w:val="style0"/>
        <w:spacing w:after="0" w:lineRule="auto" w:line="360"/>
        <w:jc w:val="both"/>
        <w:rPr>
          <w:rFonts w:ascii="Cambria" w:cs="Times New Roman" w:eastAsia="Times New Roman" w:hAnsi="Cambria"/>
          <w:bCs/>
          <w:noProof/>
          <w:lang w:val="id-ID"/>
        </w:rPr>
      </w:pPr>
      <w:r>
        <w:rPr>
          <w:rFonts w:cs="Times New Roman" w:eastAsia="Times New Roman" w:hAnsi="Cambria"/>
          <w:bCs/>
          <w:noProof/>
          <w:lang w:val="en-US"/>
        </w:rPr>
        <w:t>Grafik. 4.1 Kepatuhan Minum Obat</w:t>
      </w:r>
    </w:p>
    <w:p>
      <w:pPr>
        <w:pStyle w:val="style0"/>
        <w:spacing w:after="0" w:lineRule="auto" w:line="360"/>
        <w:jc w:val="both"/>
        <w:rPr>
          <w:rFonts w:ascii="Cambria" w:cs="Times New Roman" w:eastAsia="Times New Roman" w:hAnsi="Cambria"/>
          <w:bCs/>
          <w:noProof/>
          <w:lang w:val="id-ID"/>
        </w:rPr>
      </w:pPr>
      <w:r>
        <w:rPr>
          <w:rFonts w:cs="Times New Roman" w:eastAsia="Times New Roman" w:hAnsi="Cambria"/>
          <w:bCs/>
          <w:noProof/>
          <w:lang w:val="en-US"/>
        </w:rPr>
        <w:t>Berdasarkan pada grafik 4.1 didapatkan tingkat kepatuhan pasien dalam minum obat adalah hari 1 skore 2 (tidak patuh) dan hari ke 7 skore 8 (patuh).</w:t>
      </w:r>
    </w:p>
    <w:p>
      <w:pPr>
        <w:pStyle w:val="style0"/>
        <w:spacing w:after="0" w:lineRule="auto" w:line="360"/>
        <w:jc w:val="both"/>
        <w:rPr>
          <w:rFonts w:ascii="Cambria" w:cs="Times New Roman" w:eastAsia="Times New Roman" w:hAnsi="Cambria"/>
          <w:bCs/>
          <w:noProof/>
          <w:lang w:val="id-ID"/>
        </w:rPr>
      </w:pPr>
      <w:r>
        <w:rPr>
          <w:rFonts w:cs="Times New Roman" w:eastAsia="Times New Roman" w:hAnsi="Cambria"/>
          <w:bCs/>
          <w:noProof/>
          <w:lang w:val="en-US"/>
        </w:rPr>
        <w:t>Hasil Observasi Tekanan Darah</w:t>
      </w:r>
    </w:p>
    <w:p>
      <w:pPr>
        <w:pStyle w:val="style0"/>
        <w:spacing w:after="0" w:lineRule="auto" w:line="360"/>
        <w:ind w:firstLine="467"/>
        <w:jc w:val="center"/>
        <w:rPr>
          <w:rFonts w:ascii="Cambria" w:cs="Times New Roman" w:eastAsia="Times New Roman" w:hAnsi="Cambria"/>
          <w:bCs/>
          <w:noProof/>
          <w:lang w:val="id-ID"/>
        </w:rPr>
      </w:pPr>
      <w:r>
        <w:rPr/>
        <w:drawing>
          <wp:inline distL="0" distT="0" distB="0" distR="0">
            <wp:extent cx="2692400" cy="1033719"/>
            <wp:effectExtent l="0" t="0" r="0" b="0"/>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3" cstate="print"/>
                    <a:srcRect l="0" t="0" r="0" b="0"/>
                    <a:stretch/>
                  </pic:blipFill>
                  <pic:spPr>
                    <a:xfrm rot="0">
                      <a:off x="0" y="0"/>
                      <a:ext cx="2692400" cy="1033719"/>
                    </a:xfrm>
                    <a:prstGeom prst="rect"/>
                  </pic:spPr>
                </pic:pic>
              </a:graphicData>
            </a:graphic>
          </wp:inline>
        </w:drawing>
      </w:r>
    </w:p>
    <w:p>
      <w:pPr>
        <w:pStyle w:val="style0"/>
        <w:spacing w:after="0" w:lineRule="auto" w:line="360"/>
        <w:jc w:val="both"/>
        <w:rPr>
          <w:rFonts w:ascii="Cambria" w:cs="Times New Roman" w:eastAsia="Times New Roman" w:hAnsi="Cambria"/>
          <w:bCs/>
          <w:noProof/>
          <w:lang w:val="id-ID"/>
        </w:rPr>
      </w:pPr>
      <w:r>
        <w:rPr>
          <w:rFonts w:cs="Times New Roman" w:eastAsia="Times New Roman" w:hAnsi="Cambria"/>
          <w:bCs/>
          <w:noProof/>
          <w:lang w:val="en-US"/>
        </w:rPr>
        <w:t>Grafik: 4.2 Tekanan Darah Sistolik dan Diastolik</w:t>
      </w:r>
    </w:p>
    <w:p>
      <w:pPr>
        <w:pStyle w:val="style0"/>
        <w:spacing w:after="0" w:lineRule="auto" w:line="360"/>
        <w:jc w:val="both"/>
        <w:rPr>
          <w:rFonts w:ascii="Cambria" w:cs="Times New Roman" w:hAnsi="Cambria"/>
          <w:bCs/>
        </w:rPr>
      </w:pPr>
      <w:r>
        <w:rPr>
          <w:rFonts w:cs="Times New Roman" w:eastAsia="Times New Roman" w:hAnsi="Cambria"/>
          <w:bCs/>
          <w:noProof/>
          <w:lang w:val="en-US"/>
        </w:rPr>
        <w:t>Berdasarkan grafik 4.2 didapatkan bahwa pada saat pengkajian tekanan darah Tn. S adalah 170/90 mmHg. Setelah dilakukan intervensi selama 7 hari tekanan darah membaik menjadi 130/80 mmHg.</w:t>
      </w:r>
      <w:r>
        <w:rPr>
          <w:rFonts w:ascii="Cambria" w:cs="Times New Roman" w:eastAsia="Times New Roman" w:hAnsi="Cambria"/>
          <w:bCs/>
          <w:noProof/>
          <w:lang w:val="id-ID"/>
        </w:rPr>
        <w:t xml:space="preserve"> </w:t>
      </w:r>
    </w:p>
    <w:p>
      <w:pPr>
        <w:pStyle w:val="style34"/>
        <w:spacing w:after="0" w:lineRule="auto" w:line="360"/>
        <w:jc w:val="left"/>
        <w:rPr>
          <w:lang w:val="id-ID"/>
        </w:rPr>
      </w:pPr>
    </w:p>
    <w:p>
      <w:pPr>
        <w:pStyle w:val="style0"/>
        <w:rPr>
          <w:rFonts w:ascii="Cambria" w:cs="Cambria" w:eastAsia="Cambria" w:hAnsi="Cambria"/>
          <w:b/>
          <w:color w:val="000000"/>
          <w:sz w:val="24"/>
          <w:szCs w:val="24"/>
          <w:lang w:val="id-ID"/>
        </w:rPr>
      </w:pPr>
      <w:r>
        <w:rPr>
          <w:rFonts w:ascii="Cambria" w:cs="Cambria" w:eastAsia="Cambria" w:hAnsi="Cambria"/>
          <w:b/>
          <w:color w:val="000000"/>
          <w:sz w:val="24"/>
          <w:szCs w:val="24"/>
          <w:lang w:val="id-ID"/>
        </w:rPr>
        <w:t xml:space="preserve">Pembahasan </w:t>
      </w:r>
    </w:p>
    <w:p>
      <w:pPr>
        <w:pStyle w:val="style179"/>
        <w:numPr>
          <w:ilvl w:val="0"/>
          <w:numId w:val="1"/>
        </w:numPr>
        <w:spacing w:after="0" w:lineRule="auto" w:line="360"/>
        <w:jc w:val="both"/>
        <w:rPr>
          <w:rFonts w:ascii="Cambria" w:cs="Times New Roman" w:hAnsi="Cambria"/>
          <w:bCs/>
        </w:rPr>
      </w:pPr>
      <w:r>
        <w:rPr>
          <w:rFonts w:ascii="Cambria" w:cs="Times New Roman" w:hAnsi="Cambria"/>
          <w:bCs/>
        </w:rPr>
        <w:t>Pengkajian</w:t>
      </w:r>
    </w:p>
    <w:p>
      <w:pPr>
        <w:pStyle w:val="style179"/>
        <w:spacing w:after="0" w:lineRule="auto" w:line="360"/>
        <w:ind w:left="357" w:firstLine="522"/>
        <w:jc w:val="both"/>
        <w:rPr>
          <w:rFonts w:cs="Times New Roman" w:eastAsia="Times New Roman" w:hAnsi="Cambria"/>
          <w:bCs/>
          <w:noProof/>
          <w:lang w:val="en-US"/>
        </w:rPr>
      </w:pPr>
      <w:r>
        <w:rPr>
          <w:rFonts w:cs="Times New Roman" w:eastAsia="Times New Roman" w:hAnsi="Cambria"/>
          <w:bCs/>
          <w:noProof/>
          <w:lang w:val="en-US"/>
        </w:rPr>
        <w:t>Partisipan Bernama Tn.S berusia 65 tahun. Semakin bertambahnya usia lansia risiko terkena hipertensi semakin meningkat. Hal ini terjadi karena kondisi pada tubuh sehingga mempengaruhi jantung, permbuluh darah dan hormon. Fungsi dari organ otak, ginjal dan mata juga semakin menurun dengan bertambahnya usia lansia. Semakin bertambahnya usia, risiko terkena hipertensi lebih besar sehingga prevalensi dikalangan lansia cukup tinggi yaitu sekitar 40% dengan kematian sekitar 50% di atas umur 60 tahun. Arteri kehilangan elastisitas atau kelenturan serta tekanan darah meningkat seiring dengan bertambahnya usia. Peningkatan kasus hipertensi akan berkembang pada umur 60 tahun keatas. Perubahan tekanan darah meningkat terlalu tinggi dan disertai faktor-faktor lain maka memicu terjadinya hipertensi disertai dengan komplikasinya (Riyada, Fauziah, Liana, &amp; Hasni, 2024)</w:t>
      </w:r>
    </w:p>
    <w:p>
      <w:pPr>
        <w:pStyle w:val="style179"/>
        <w:spacing w:after="0" w:lineRule="auto" w:line="360"/>
        <w:ind w:left="357" w:firstLine="522"/>
        <w:jc w:val="both"/>
        <w:rPr>
          <w:rFonts w:cs="Times New Roman" w:eastAsia="Times New Roman" w:hAnsi="Cambria"/>
          <w:bCs/>
          <w:noProof/>
          <w:lang w:val="en-US"/>
        </w:rPr>
      </w:pPr>
      <w:r>
        <w:rPr>
          <w:rFonts w:cs="Times New Roman" w:eastAsia="Times New Roman" w:hAnsi="Cambria"/>
          <w:bCs/>
          <w:noProof/>
          <w:lang w:val="en-US"/>
        </w:rPr>
        <w:t>Pada saat pengkajian, partisipan mengatakan sakit kepala/pusing. Hipertensi dapat menyebabkan nyeri kepala dan rasa tidak nyaman di daerah kepala dan leher, termasuk sampai ke tengkuk, karena peningkatan tekanan darah dalam pembuluh darah. Partisipan mengatakan memiliki riwayat hipertensi, sejak tahun 2023. Kemudian sejak hari selasa, 22 April 2025 partisipan merasakan kepalanya pusing disertai kaku pada tengkuk leher belakang dengan skala nyeri 5 dan frekuensinya hilang timbul. Pada saat pengkajian partisipan merasakan kepalanya pusing, seperti tertekan benda berat, dengan skala 5 dan kadang-kadang hilang timbul. Partisipan mengatakan sejak bulan Januari 2025 tidak cek kesehatan dan tidak minum obat.</w:t>
      </w:r>
    </w:p>
    <w:p>
      <w:pPr>
        <w:pStyle w:val="style179"/>
        <w:spacing w:after="0" w:lineRule="auto" w:line="360"/>
        <w:ind w:left="357" w:firstLine="522"/>
        <w:jc w:val="both"/>
        <w:rPr>
          <w:rFonts w:cs="Times New Roman" w:eastAsia="Times New Roman" w:hAnsi="Cambria"/>
          <w:bCs/>
          <w:noProof/>
          <w:lang w:val="en-US"/>
        </w:rPr>
      </w:pPr>
      <w:r>
        <w:rPr>
          <w:rFonts w:cs="Times New Roman" w:eastAsia="Times New Roman" w:hAnsi="Cambria"/>
          <w:bCs/>
          <w:noProof/>
          <w:lang w:val="en-US"/>
        </w:rPr>
        <w:t>Tn.S memiliki Pendidikan terakhir SD. Pendidikan terakhir SD sederajat dapat mempengaruhi pengetahuan partisipan terhadap Kesehatan. Tingkat pendidikan dapat mempengaruhi tingkat kepatuhan minum obat. Seseorang yang mempunyai pendidikan ketika menemui masalah akan berusaha untuk memecahkannya sebaik mungkin. Semakin tinggi tingkat pendidikan seseorang maka semakin mudah responden menerima informasi yang di berikan (Arfania, Hidayat, &amp; Surya, 2022)</w:t>
      </w:r>
    </w:p>
    <w:p>
      <w:pPr>
        <w:pStyle w:val="style179"/>
        <w:spacing w:after="0" w:lineRule="auto" w:line="360"/>
        <w:ind w:left="357" w:firstLine="522"/>
        <w:jc w:val="both"/>
        <w:rPr>
          <w:rFonts w:cs="Times New Roman" w:eastAsia="Times New Roman" w:hAnsi="Cambria"/>
          <w:bCs/>
          <w:noProof/>
          <w:lang w:val="en-US"/>
        </w:rPr>
      </w:pPr>
      <w:r>
        <w:rPr>
          <w:rFonts w:cs="Times New Roman" w:eastAsia="Times New Roman" w:hAnsi="Cambria"/>
          <w:bCs/>
          <w:noProof/>
          <w:lang w:val="en-US"/>
        </w:rPr>
        <w:t xml:space="preserve">Faktor yang dapat mempengaruhi ketidakpatuhan minum obat yaitu usia, pendidikan, hambatan dalam mengakses pelayanan Kesehatan, program terapi tidak ditanggung asuransi Kesehatan, dan ketidakadekuatan pemahaman sekunder akibat kecemasan atau kurang motivasi atau gangguan lainnya (Yuliana, Haerati, &amp; Makmur, 2023). </w:t>
      </w:r>
    </w:p>
    <w:p>
      <w:pPr>
        <w:pStyle w:val="style179"/>
        <w:numPr>
          <w:ilvl w:val="0"/>
          <w:numId w:val="1"/>
        </w:numPr>
        <w:spacing w:after="0" w:lineRule="auto" w:line="360"/>
        <w:jc w:val="both"/>
        <w:rPr>
          <w:rFonts w:ascii="Cambria" w:cs="Times New Roman" w:hAnsi="Cambria"/>
          <w:bCs/>
        </w:rPr>
      </w:pPr>
      <w:r>
        <w:rPr>
          <w:rFonts w:ascii="Cambria" w:cs="Times New Roman" w:hAnsi="Cambria"/>
          <w:bCs/>
        </w:rPr>
        <w:t>Diagnosa</w:t>
      </w:r>
    </w:p>
    <w:p>
      <w:pPr>
        <w:pStyle w:val="style179"/>
        <w:spacing w:after="0" w:lineRule="auto" w:line="360"/>
        <w:ind w:left="360" w:firstLine="522"/>
        <w:jc w:val="both"/>
        <w:rPr>
          <w:rFonts w:ascii="Cambria" w:cs="Times New Roman" w:hAnsi="Cambria"/>
          <w:bCs/>
        </w:rPr>
      </w:pPr>
      <w:r>
        <w:rPr>
          <w:rFonts w:cs="Times New Roman" w:hAnsi="Cambria"/>
          <w:bCs/>
          <w:lang w:val="en-US"/>
        </w:rPr>
        <w:t>Berdasarkan pengkajian didapatkan diagnosis sebagai berikut: ketidakpatuhan minum obat berhubungan dengan ketidakadekuatan pemahaman sekunder terhadap kurang motivasi (D.0114).</w:t>
      </w:r>
    </w:p>
    <w:p>
      <w:pPr>
        <w:pStyle w:val="style179"/>
        <w:spacing w:after="0" w:lineRule="auto" w:line="360"/>
        <w:ind w:left="360" w:firstLine="522"/>
        <w:jc w:val="both"/>
        <w:rPr>
          <w:rFonts w:ascii="Cambria" w:cs="Times New Roman" w:hAnsi="Cambria"/>
          <w:bCs/>
        </w:rPr>
      </w:pPr>
      <w:r>
        <w:rPr>
          <w:rFonts w:cs="Times New Roman" w:hAnsi="Cambria"/>
          <w:bCs/>
          <w:lang w:val="en-US"/>
        </w:rPr>
        <w:t>Ketidakpatuhan merupakan perilaku individu atau pemberian asuhan yang tidak sesuai dengan rencana terapeutik yang ditetapkan oleh individu, keluarga dan komunitas serta profesional pelayanan kesehatan. Perilaku pemberi asuhan atau individu yang tidak mematuhi ketetapan, rencana promosi kesehatan atau terapeutik secara keseluruhan atau sebagian dapat menyebabkan hasil akhir yang tidak efektif secara klinis. Ketidakpatuhan terhadap terapi hipertensi merupakan salah satu faktor kunci yang menyebabkan kegagalan pada terapi hipertensi, Sebagian partisipan hipertensi tidak minum obat secara teratur dan hanya minum obat bila dirasa perlu (Arfania, Hidayat, &amp; Surya, 2022).</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Berdasarkan SDKI terdapat tanda mayor pada diagnosis ketidakpatuhan minum obat yaitu partisipan menolak menjalin perawatan atau pengobatan dan menolak mengikuti anjuran. Untuk atau masalah kesehatan menetap atau meningkat. Dalam kategori tanda/gejala minor harus ditemukan sekitar 80%-100% untuk validasi diagnosis (PPNI, 2017). tanda mayor yaitu tampak tanda atau gejala penyakit atau masalah kesehatan masih ada atau meningkat, tampak komplikasi penyakit. </w:t>
      </w:r>
    </w:p>
    <w:p>
      <w:pPr>
        <w:pStyle w:val="style179"/>
        <w:numPr>
          <w:ilvl w:val="0"/>
          <w:numId w:val="1"/>
        </w:numPr>
        <w:spacing w:after="0" w:lineRule="auto" w:line="360"/>
        <w:jc w:val="both"/>
        <w:rPr>
          <w:rFonts w:ascii="Cambria" w:cs="Times New Roman" w:hAnsi="Cambria"/>
          <w:bCs/>
        </w:rPr>
      </w:pPr>
      <w:r>
        <w:rPr>
          <w:rFonts w:ascii="Cambria" w:cs="Times New Roman" w:hAnsi="Cambria"/>
          <w:bCs/>
        </w:rPr>
        <w:t>Intervensi</w:t>
      </w:r>
    </w:p>
    <w:p>
      <w:pPr>
        <w:pStyle w:val="style179"/>
        <w:spacing w:after="0" w:lineRule="auto" w:line="360"/>
        <w:ind w:left="360" w:firstLine="522"/>
        <w:jc w:val="both"/>
        <w:rPr>
          <w:rFonts w:ascii="Cambria" w:cs="Times New Roman" w:hAnsi="Cambria"/>
          <w:bCs/>
        </w:rPr>
      </w:pPr>
      <w:r>
        <w:rPr>
          <w:rFonts w:ascii="Cambria" w:cs="Times New Roman" w:hAnsi="Cambria"/>
          <w:bCs/>
        </w:rPr>
        <w:t>Berdasarkan</w:t>
      </w:r>
      <w:r>
        <w:rPr>
          <w:rFonts w:ascii="Cambria" w:cs="Times New Roman" w:hAnsi="Cambria"/>
          <w:bCs/>
        </w:rPr>
        <w:t xml:space="preserve"> diagnosis </w:t>
      </w:r>
      <w:r>
        <w:rPr>
          <w:rFonts w:ascii="Cambria" w:cs="Times New Roman" w:hAnsi="Cambria"/>
          <w:bCs/>
        </w:rPr>
        <w:t>keperawatan</w:t>
      </w:r>
      <w:r>
        <w:rPr>
          <w:rFonts w:ascii="Cambria" w:cs="Times New Roman" w:hAnsi="Cambria"/>
          <w:bCs/>
        </w:rPr>
        <w:t xml:space="preserve"> yang </w:t>
      </w:r>
      <w:r>
        <w:rPr>
          <w:rFonts w:ascii="Cambria" w:cs="Times New Roman" w:hAnsi="Cambria"/>
          <w:bCs/>
        </w:rPr>
        <w:t>muncul</w:t>
      </w:r>
      <w:r>
        <w:rPr>
          <w:rFonts w:ascii="Cambria" w:cs="Times New Roman" w:hAnsi="Cambria"/>
          <w:bCs/>
        </w:rPr>
        <w:t xml:space="preserve">, </w:t>
      </w:r>
      <w:r>
        <w:rPr>
          <w:rFonts w:ascii="Cambria" w:cs="Times New Roman" w:hAnsi="Cambria"/>
          <w:bCs/>
        </w:rPr>
        <w:t>peneliti</w:t>
      </w:r>
      <w:r>
        <w:rPr>
          <w:rFonts w:ascii="Cambria" w:cs="Times New Roman" w:hAnsi="Cambria"/>
          <w:bCs/>
        </w:rPr>
        <w:t xml:space="preserve"> </w:t>
      </w:r>
      <w:r>
        <w:rPr>
          <w:rFonts w:ascii="Cambria" w:cs="Times New Roman" w:hAnsi="Cambria"/>
          <w:bCs/>
        </w:rPr>
        <w:t>memutuskan</w:t>
      </w:r>
      <w:r>
        <w:rPr>
          <w:rFonts w:ascii="Cambria" w:cs="Times New Roman" w:hAnsi="Cambria"/>
          <w:bCs/>
        </w:rPr>
        <w:t xml:space="preserve"> </w:t>
      </w:r>
      <w:r>
        <w:rPr>
          <w:rFonts w:ascii="Cambria" w:cs="Times New Roman" w:hAnsi="Cambria"/>
          <w:bCs/>
        </w:rPr>
        <w:t>untuk</w:t>
      </w:r>
      <w:r>
        <w:rPr>
          <w:rFonts w:ascii="Cambria" w:cs="Times New Roman" w:hAnsi="Cambria"/>
          <w:bCs/>
        </w:rPr>
        <w:t xml:space="preserve"> </w:t>
      </w:r>
      <w:r>
        <w:rPr>
          <w:rFonts w:ascii="Cambria" w:cs="Times New Roman" w:hAnsi="Cambria"/>
          <w:bCs/>
        </w:rPr>
        <w:t>merencanakan</w:t>
      </w:r>
      <w:r>
        <w:rPr>
          <w:rFonts w:ascii="Cambria" w:cs="Times New Roman" w:hAnsi="Cambria"/>
          <w:bCs/>
        </w:rPr>
        <w:t xml:space="preserve"> </w:t>
      </w:r>
      <w:r>
        <w:rPr>
          <w:rFonts w:cs="Times New Roman" w:hAnsi="Cambria"/>
          <w:bCs/>
          <w:lang w:val="en-US"/>
        </w:rPr>
        <w:t>tindakan keperawatan yang dilakukan pada Tn.S yaitu selama 7 hari dengan melakukan pendidikan kesehatan tentang penyakit hipertensi, ketidakpatuhan minum obat dengan SAP dan leaflet, dan diet hipertensi yang bertujuan untuk meningkatkan kepatuhan partisipan dalam rutin mengkonsumsi obat. Peneliti menggunakan SIKI yaitu dukungan kepatuhan program pengobatan (1.12361).</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Health Education (Pendidikan kesehatan) merupakan segala upaya yang direncanakan untuk mempengaruhi orang lain sehingga mereka melakukan apa yang diharapkan oleh peneliti dengan cara melakukan penyuluhan kepada partisipan. </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Aplikasi my terapy obat merupakan sebuah aplikasi digital yang membantu pasien mengelola pengobatan menggunakan fitur-fitur seperti pengingat obat, pencatatan riwayat pengobatan, dan informasi obat. </w:t>
      </w:r>
    </w:p>
    <w:p>
      <w:pPr>
        <w:pStyle w:val="style179"/>
        <w:numPr>
          <w:ilvl w:val="0"/>
          <w:numId w:val="1"/>
        </w:numPr>
        <w:spacing w:after="0" w:lineRule="auto" w:line="360"/>
        <w:jc w:val="both"/>
        <w:rPr>
          <w:rFonts w:ascii="Cambria" w:cs="Times New Roman" w:hAnsi="Cambria"/>
          <w:bCs/>
        </w:rPr>
      </w:pPr>
      <w:r>
        <w:rPr>
          <w:rFonts w:ascii="Cambria" w:cs="Times New Roman" w:hAnsi="Cambria"/>
          <w:bCs/>
        </w:rPr>
        <w:t>Implementasi</w:t>
      </w:r>
    </w:p>
    <w:p>
      <w:pPr>
        <w:pStyle w:val="style179"/>
        <w:spacing w:after="0" w:lineRule="auto" w:line="360"/>
        <w:ind w:left="360" w:firstLine="522"/>
        <w:jc w:val="both"/>
        <w:rPr>
          <w:rFonts w:ascii="Cambria" w:cs="Times New Roman" w:hAnsi="Cambria"/>
          <w:bCs/>
        </w:rPr>
      </w:pPr>
      <w:r>
        <w:rPr>
          <w:rFonts w:ascii="Cambria" w:cs="Times New Roman" w:hAnsi="Cambria"/>
          <w:bCs/>
        </w:rPr>
        <w:t>Implementasi</w:t>
      </w:r>
      <w:r>
        <w:rPr>
          <w:rFonts w:ascii="Cambria" w:cs="Times New Roman" w:hAnsi="Cambria"/>
          <w:bCs/>
        </w:rPr>
        <w:t xml:space="preserve"> </w:t>
      </w:r>
      <w:r>
        <w:rPr>
          <w:rFonts w:cs="Times New Roman" w:hAnsi="Cambria"/>
          <w:bCs/>
          <w:lang w:val="en-US"/>
        </w:rPr>
        <w:t>Peneliti melakukan Health education (pendidikan kesehatan) tentang penyakit hipertensi, ketidakpatuhan minum obat dan diet hipertensi kepada partisipan pada kunjungan hari pertama sampai hari ketiga yang berarti selama tiga hari.</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Peneliti menerapkan Family Support pada keluarga yang merupakan bentuk dukungan sosial dari keluarga dalam pelayanan kesehatan untuk mencapai keluarga yang sehat. Anggota keluarga dapat membantu memberikan informasi tentang penyakit serta mengingatkan waktu minum obat. </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Peneliti menggunakan aplikasi my terapy obat pada kunjungan hari kedua-ketuju. Penggunaan aplikasi ini sangat diperlukan sebagai pengingat minum obat pada lansia yang tidak patuh minum obat (Riani, Nugraheni, &amp; Farid, 2023) </w:t>
      </w:r>
    </w:p>
    <w:p>
      <w:pPr>
        <w:pStyle w:val="style179"/>
        <w:numPr>
          <w:ilvl w:val="0"/>
          <w:numId w:val="1"/>
        </w:numPr>
        <w:spacing w:after="0" w:lineRule="auto" w:line="360"/>
        <w:ind w:left="357"/>
        <w:jc w:val="both"/>
        <w:rPr>
          <w:rFonts w:ascii="Cambria" w:cs="Times New Roman" w:hAnsi="Cambria"/>
          <w:bCs/>
        </w:rPr>
      </w:pPr>
      <w:r>
        <w:rPr>
          <w:rFonts w:ascii="Cambria" w:cs="Times New Roman" w:hAnsi="Cambria"/>
          <w:bCs/>
        </w:rPr>
        <w:t>Evaluasi</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Hasil evaluasi asuhan keperawatan selama 7 hari menggunakan kuesioner MMAS pada saat pengkajian dan lembar observasi harian yang digunakan setiap hari dimulai pada tanggal 2 April 2023 - 8April 2025 adalah sebagai berikut : </w:t>
      </w:r>
    </w:p>
    <w:p>
      <w:pPr>
        <w:pStyle w:val="style179"/>
        <w:spacing w:after="0" w:lineRule="auto" w:line="360"/>
        <w:ind w:left="360" w:firstLine="522"/>
        <w:jc w:val="both"/>
        <w:rPr>
          <w:rFonts w:ascii="Cambria" w:cs="Times New Roman" w:hAnsi="Cambria"/>
          <w:bCs/>
        </w:rPr>
      </w:pPr>
      <w:r>
        <w:rPr>
          <w:rFonts w:cs="Times New Roman" w:hAnsi="Cambria"/>
          <w:bCs/>
          <w:lang w:val="en-US"/>
        </w:rPr>
        <w:t>Hasil evaluasi pertama dan kedua didapatkan hasil bahwa partisipan mendapatkan (nilai 2) atau tidak patuh minum obat. Nilai didapatkan dari kuesioner MMAS-8 pertanyaan nomor 3,5</w:t>
      </w:r>
    </w:p>
    <w:p>
      <w:pPr>
        <w:pStyle w:val="style179"/>
        <w:spacing w:after="0" w:lineRule="auto" w:line="360"/>
        <w:ind w:left="360" w:firstLine="522"/>
        <w:jc w:val="both"/>
        <w:rPr>
          <w:rFonts w:ascii="Cambria" w:cs="Times New Roman" w:hAnsi="Cambria"/>
          <w:bCs/>
        </w:rPr>
      </w:pPr>
      <w:r>
        <w:rPr>
          <w:rFonts w:cs="Times New Roman" w:hAnsi="Cambria"/>
          <w:bCs/>
          <w:lang w:val="en-US"/>
        </w:rPr>
        <w:t>Hasil evaluasi ketiga didapatkan hasil bahwa partisipan mendapatkan (nilai 4) tidak patuh berdasarkan kuesioner MMAS-8 pertanyaan nomor 3,4,5,6</w:t>
      </w:r>
    </w:p>
    <w:p>
      <w:pPr>
        <w:pStyle w:val="style179"/>
        <w:spacing w:after="0" w:lineRule="auto" w:line="360"/>
        <w:ind w:left="360" w:firstLine="522"/>
        <w:jc w:val="both"/>
        <w:rPr>
          <w:rFonts w:ascii="Cambria" w:cs="Times New Roman" w:hAnsi="Cambria"/>
          <w:bCs/>
        </w:rPr>
      </w:pPr>
      <w:r>
        <w:rPr>
          <w:rFonts w:cs="Times New Roman" w:hAnsi="Cambria"/>
          <w:bCs/>
          <w:lang w:val="en-US"/>
        </w:rPr>
        <w:t>Hasil evaluasi ke empat didapatkan hasil bahwa partisipan mendapatkan (nilai 6) atau kurang patuh. Nilai didapatkan dari kuesioner MMAS-8 pertanyaan nomor 3,4,5,6,7,8.</w:t>
      </w:r>
    </w:p>
    <w:p>
      <w:pPr>
        <w:pStyle w:val="style179"/>
        <w:spacing w:after="0" w:lineRule="auto" w:line="360"/>
        <w:ind w:left="360" w:firstLine="522"/>
        <w:jc w:val="both"/>
        <w:rPr>
          <w:rFonts w:ascii="Cambria" w:cs="Times New Roman" w:hAnsi="Cambria"/>
          <w:bCs/>
        </w:rPr>
      </w:pPr>
      <w:r>
        <w:rPr>
          <w:rFonts w:cs="Times New Roman" w:hAnsi="Cambria"/>
          <w:bCs/>
          <w:lang w:val="en-US"/>
        </w:rPr>
        <w:t>Hasil evaluasi ke lima dan ke enam didapatkan hasil bahwa partisipan mendapatkan (nilai 7) atau kurang patuh. Nilai didapatkan dari kuesioner MMAS-8 pertanyaan nomor 1,3,4,5,6,7,8.</w:t>
      </w:r>
    </w:p>
    <w:p>
      <w:pPr>
        <w:pStyle w:val="style179"/>
        <w:spacing w:after="0" w:lineRule="auto" w:line="360"/>
        <w:ind w:left="360" w:firstLine="522"/>
        <w:jc w:val="both"/>
        <w:rPr>
          <w:rFonts w:ascii="Cambria" w:cs="Times New Roman" w:hAnsi="Cambria"/>
          <w:bCs/>
        </w:rPr>
      </w:pPr>
      <w:r>
        <w:rPr>
          <w:rFonts w:cs="Times New Roman" w:hAnsi="Cambria"/>
          <w:bCs/>
          <w:lang w:val="en-US"/>
        </w:rPr>
        <w:t>Hasil evaluasi ke tujuh didapatkan hasil bahwa partisipan mendapatkan (nilai 8) patuh. Nilai didapatkan dari kuesioner MMAS-8 pertanyaan nomor 1,2,3,4,5,6,7,8.</w:t>
      </w:r>
    </w:p>
    <w:p>
      <w:pPr>
        <w:pStyle w:val="style179"/>
        <w:spacing w:after="0" w:lineRule="auto" w:line="360"/>
        <w:ind w:left="360" w:firstLine="522"/>
        <w:jc w:val="both"/>
        <w:rPr>
          <w:rFonts w:ascii="Cambria" w:cs="Times New Roman" w:hAnsi="Cambria"/>
          <w:bCs/>
        </w:rPr>
      </w:pPr>
      <w:r>
        <w:rPr>
          <w:rFonts w:cs="Times New Roman" w:hAnsi="Cambria"/>
          <w:bCs/>
          <w:lang w:val="en-US"/>
        </w:rPr>
        <w:t xml:space="preserve">Diagnosis ketidakpatuhan teratasi pada hari ke tujuh dengan kriteria hasil ketidakpatuhan menurun mendapatkan (delapan) atau patuh, pada diagnosis ini terdapat hambatan yaitu kurangnya dukungan dari keluarga (anaknya) dalam perawatan maupun pengobatan sehingga menghambat terciptanya kepatuhan minum obat.  </w:t>
      </w:r>
    </w:p>
    <w:p>
      <w:pPr>
        <w:pStyle w:val="style0"/>
        <w:spacing w:after="0" w:lineRule="auto" w:line="360"/>
        <w:jc w:val="both"/>
        <w:rPr>
          <w:rFonts w:ascii="Cambria" w:cs="Times New Roman" w:hAnsi="Cambria"/>
          <w:bCs/>
        </w:rPr>
      </w:pPr>
    </w:p>
    <w:p>
      <w:pPr>
        <w:pStyle w:val="style0"/>
        <w:rPr>
          <w:lang w:val="id-ID"/>
        </w:rPr>
      </w:pPr>
      <w:r>
        <w:rPr>
          <w:rFonts w:ascii="Cambria" w:cs="Cambria" w:eastAsia="Cambria" w:hAnsi="Cambria"/>
          <w:b/>
          <w:color w:val="000000"/>
          <w:sz w:val="24"/>
          <w:szCs w:val="24"/>
        </w:rPr>
        <w:t>Kesimpulan</w:t>
      </w:r>
      <w:r>
        <w:rPr>
          <w:lang w:val="id-ID"/>
        </w:rPr>
        <w:t xml:space="preserve"> </w:t>
      </w:r>
    </w:p>
    <w:p>
      <w:pPr>
        <w:pStyle w:val="style0"/>
        <w:spacing w:lineRule="auto" w:line="360"/>
        <w:jc w:val="both"/>
        <w:rPr>
          <w:rFonts w:ascii="Cambria" w:cs="Times New Roman" w:hAnsi="Cambria"/>
          <w:bCs/>
        </w:rPr>
      </w:pPr>
      <w:r>
        <w:rPr>
          <w:rFonts w:cs="Times New Roman" w:hAnsi="Cambria"/>
          <w:bCs/>
          <w:lang w:val="en-US"/>
        </w:rPr>
        <w:t xml:space="preserve">         </w:t>
      </w:r>
      <w:r>
        <w:rPr>
          <w:rFonts w:ascii="Cambria" w:cs="Times New Roman" w:hAnsi="Cambria"/>
          <w:bCs/>
        </w:rPr>
        <w:t>Berdasarkan</w:t>
      </w:r>
      <w:r>
        <w:rPr>
          <w:rFonts w:ascii="Cambria" w:cs="Times New Roman" w:hAnsi="Cambria"/>
          <w:bCs/>
        </w:rPr>
        <w:t xml:space="preserve"> </w:t>
      </w:r>
      <w:r>
        <w:rPr>
          <w:rFonts w:cs="Times New Roman" w:hAnsi="Cambria"/>
          <w:bCs/>
          <w:lang w:val="en-US"/>
        </w:rPr>
        <w:t>Partisipan bernama Tn.S berusia 65 tahun, jenis kelamin laki-laki, alamat Dkh. S Ds S, Kec. B Kab. P, beragama islam, status menikah, pendidikan terakhir SD sederajat, partisipan sebagai kepala keluarga dengan riwayat hipertensi sejak 2023. Partisipan mengeluh sakit kepala, nyeri pada daerah (tengkuk) leher belakang, partisipan mempunyai riwayat hipertensi dengan tekanan darah pengkajian awal 170/90 mmHg partisipan jarang berolahraga tetapi partisipan aktif dalam beraktivitas. partisipan kurang mampu memahami tentang tingkat kepatuhan program hipertensi dan cara mengontrol hipertensi partisipan tidak rutin mengontrol kesehatan di puskesmas, jarang cek tekanan darah dan tidak rutin mengkonsumsi obat hipertensi.</w:t>
      </w:r>
    </w:p>
    <w:p>
      <w:pPr>
        <w:pStyle w:val="style0"/>
        <w:spacing w:lineRule="auto" w:line="360"/>
        <w:jc w:val="both"/>
        <w:rPr>
          <w:rFonts w:cs="Times New Roman" w:hAnsi="Cambria"/>
          <w:bCs/>
          <w:lang w:val="en-US"/>
        </w:rPr>
      </w:pPr>
      <w:r>
        <w:rPr>
          <w:rFonts w:cs="Times New Roman" w:hAnsi="Cambria"/>
          <w:bCs/>
          <w:lang w:val="en-US"/>
        </w:rPr>
        <w:t xml:space="preserve">         Diagnosis keperawatan yang muncul ketidakpatuhan minum obat berhubungan dengan ketidakadekuatan pemahaman sekunder terhadap kurang motivasi (D.0114).</w:t>
      </w:r>
    </w:p>
    <w:p>
      <w:pPr>
        <w:pStyle w:val="style0"/>
        <w:spacing w:lineRule="auto" w:line="360"/>
        <w:ind w:firstLineChars="200"/>
        <w:jc w:val="both"/>
        <w:rPr>
          <w:rFonts w:ascii="Cambria" w:cs="Times New Roman" w:hAnsi="Cambria"/>
          <w:bCs/>
        </w:rPr>
      </w:pPr>
      <w:r>
        <w:rPr>
          <w:rFonts w:cs="Times New Roman" w:hAnsi="Cambria"/>
          <w:bCs/>
          <w:lang w:val="en-US"/>
        </w:rPr>
        <w:t>Intervensi keperawatan dilakukan selama 7 x kunjungan dengan melakukan rencana tindakan keperawatan sesuai dengan SIKI dan dengan melakukan Health Education (Pendidikan Kesehatan) berupa edukasi tentang penyakit hipertensi, ketidakpatuhan dan diet.</w:t>
      </w:r>
    </w:p>
    <w:p>
      <w:pPr>
        <w:pStyle w:val="style0"/>
        <w:spacing w:lineRule="auto" w:line="360"/>
        <w:ind w:firstLineChars="200"/>
        <w:jc w:val="both"/>
        <w:rPr>
          <w:rFonts w:ascii="Cambria" w:cs="Times New Roman" w:hAnsi="Cambria"/>
          <w:bCs/>
        </w:rPr>
      </w:pPr>
      <w:r>
        <w:rPr>
          <w:rFonts w:cs="Times New Roman" w:hAnsi="Cambria"/>
          <w:bCs/>
          <w:lang w:val="en-US"/>
        </w:rPr>
        <w:t>Implementasi keperawatan dilakukan selama 7 x kunjungan berdasarkan intervensi yang telah disusun yaitu dukungan kepatuhan program pengobatan dan Health Education (Pendidikan Kesehatan) tentang ketepatan dalam menjalani program pengobatan dengan minum obat secara teratur.</w:t>
      </w:r>
    </w:p>
    <w:p>
      <w:pPr>
        <w:pStyle w:val="style0"/>
        <w:spacing w:lineRule="auto" w:line="360"/>
        <w:ind w:firstLineChars="200"/>
        <w:jc w:val="both"/>
        <w:rPr>
          <w:rFonts w:ascii="Cambria" w:cs="Times New Roman" w:hAnsi="Cambria"/>
          <w:bCs/>
        </w:rPr>
      </w:pPr>
      <w:r>
        <w:rPr>
          <w:rFonts w:cs="Times New Roman" w:hAnsi="Cambria"/>
          <w:bCs/>
          <w:lang w:val="en-US"/>
        </w:rPr>
        <w:t xml:space="preserve">Intervensi keperawatan dilakukan selama 7 x kunjungan dengan menggunakan aplikasi my terapy obat. aplikasi ini menggabungkan pelacak pil, pelacak suasana hati, pelacak berat badan, aplikasi pengingat obat ini memungkinkan keberhasilan perawatan. </w:t>
      </w:r>
    </w:p>
    <w:p>
      <w:pPr>
        <w:pStyle w:val="style0"/>
        <w:spacing w:lineRule="auto" w:line="360"/>
        <w:ind w:firstLineChars="200"/>
        <w:jc w:val="both"/>
        <w:rPr>
          <w:rFonts w:ascii="Cambria" w:cs="Times New Roman" w:hAnsi="Cambria"/>
          <w:bCs/>
        </w:rPr>
      </w:pPr>
      <w:r>
        <w:rPr>
          <w:rFonts w:cs="Times New Roman" w:hAnsi="Cambria"/>
          <w:bCs/>
          <w:lang w:val="en-US"/>
        </w:rPr>
        <w:t>Implementasi keperawatan dilakukan selama 7 x kunjungan berdasarkan intervensi tentang ketepatan dalam menjalani program pengobatan dengan minum obat secara teratur.</w:t>
      </w:r>
    </w:p>
    <w:p>
      <w:pPr>
        <w:pStyle w:val="style0"/>
        <w:spacing w:lineRule="auto" w:line="360"/>
        <w:ind w:firstLineChars="200"/>
        <w:jc w:val="both"/>
        <w:rPr>
          <w:rFonts w:ascii="Cambria" w:hAnsi="Cambria"/>
          <w:sz w:val="20"/>
          <w:szCs w:val="20"/>
          <w:lang w:val="id-ID"/>
        </w:rPr>
      </w:pPr>
      <w:r>
        <w:rPr>
          <w:rFonts w:cs="Times New Roman" w:hAnsi="Cambria"/>
          <w:bCs/>
          <w:lang w:val="en-US"/>
        </w:rPr>
        <w:t xml:space="preserve">Evaluasi asuhan keperawatan selama 7 x kunjungan didapatkan hasil: evaluasi pertama dan kedua menggunakan kuesioner MMAS-8 mendapatkan nilai 2 atau tidak patuh, sedangkan lembar observasi harian kemauan mematuhi program pengobatan/ perawatan meningkat pada hari kedua, keluhan sakit kepala teratasi pada kunjungan ke tiga. Tekanan darah awal 170/90 mmHg setelah dilakukan asuhan keperawatn selama 7 x kunjungan hasil akhir tekanan darah menurun menjadi 130/80 mmHg masalah keperawatan teratasi. </w:t>
      </w:r>
    </w:p>
    <w:p>
      <w:pPr>
        <w:pStyle w:val="style0"/>
        <w:rPr>
          <w:rFonts w:ascii="Times New Roman" w:cs="Times New Roman" w:hAnsi="Times New Roman"/>
          <w:bCs/>
          <w:noProof/>
          <w:sz w:val="24"/>
          <w:szCs w:val="24"/>
        </w:rPr>
      </w:pPr>
      <w:r>
        <w:rPr>
          <w:rFonts w:ascii="Cambria" w:cs="Cambria" w:eastAsia="Cambria" w:hAnsi="Cambria"/>
          <w:b/>
          <w:color w:val="000000"/>
          <w:sz w:val="24"/>
          <w:szCs w:val="24"/>
        </w:rPr>
        <w:t>Daftar</w:t>
      </w:r>
      <w:r>
        <w:rPr>
          <w:lang w:val="id-ID"/>
        </w:rPr>
        <w:t xml:space="preserve"> </w:t>
      </w:r>
      <w:r>
        <w:rPr>
          <w:rFonts w:ascii="Cambria" w:cs="Cambria" w:eastAsia="Cambria" w:hAnsi="Cambria"/>
          <w:b/>
          <w:color w:val="000000"/>
          <w:sz w:val="24"/>
          <w:szCs w:val="24"/>
        </w:rPr>
        <w:t>Pustaka</w:t>
      </w:r>
      <w:r>
        <w:rPr>
          <w:lang w:val="id-ID"/>
        </w:rPr>
        <w:t xml:space="preserve"> </w:t>
      </w: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Setiawan, A. R., Dewi, N. R., &amp; Ayubana, S. (2021). Penerapan Teknik Relaksasi Autogenik Untuk Menurunkan Tekanan Darah Pada Pasien Hipertensi. Jurnal Cendikia Muda, 1 (1).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Abady, R., Abdul, &amp; Akbar. (2022). Analisis Faktor-Faktor Yang Mempengaruhi Kualitas Tidur Partisipan. Jurnal Vokasional Kesehatan.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Abdullah, I. (2024). Efektifitas Kelompok Dukungan Keluarga Dalam Meningkatkan Kepatuhan Kontrol Minum Obat Pada Penderita Hipertensi. Jurnal Kesehatan Tadulako.</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Adzani, A., &amp; Artistin, A. R. (2023). Ketidakpatuhan Minum Obat Pada Lansia Penderita Hipertensi. jurnal Nursing Malahayati, Vol 5, No 11, Hal 3824-3834.</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Afriani, B., Camelia, R., &amp; Astriana, W. (2023). Analisis Kejadian Hipertensi Pada Lansia. Jurnal Gawat Darurat, Vol 5 No 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Aminuddin, M., Inkasari, T., &amp; Nopriyanto, D. (2020). gaya Hidup Pada Penderita Hipertensi . jurnal Kesehatan Pasak Bumi Kallimantan, Vol. 2, No. 1 Hal 48-59.</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Anandhi, D. P. (2022). terapi air garam efektif Dalam Peningkatan Kualitas Tidur Pada Lansia. Jurnal Penelitian Kesehatan.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Arfania, M., Hidayat, S. Z., &amp; S. A. (2022). Faktor yang Mempengaruhi Kepatuhan Pengobatan. jurnal of Pharmacopolium.</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Arneliasih, N. (2023). repository poltekkes denpasar.</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Astuti, &amp; Fersiani. (2023). peningkatan kemampuan lansia mengatasi nyeri sendi lutut dengan pemberian kompres garam krosok hangat di Surabaya. jurnal pengabdian masyarakat, hal 4 (1).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Azizah, W., Hasanah, U., &amp; Pakarti, A. T. (2022). Penerapan alow deep breathing terhadap tekanan darah. Jurnal Cendikia Muda , Vol 2, No 4.</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Azrina, D. T., Forwaty, E., &amp; melly. (2022). Penerapan Edukasi Terstruktur Untuk Meningkatkan Kepatuhan Minum Obat Pada Pasien Hipertensi. Jurnal Perawat, Vol.1, No.2.</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Bitzer, J. (2023). seksualitas pada lanjut usia. Jurnal Ilmiah Terapan.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Butar, S., Prabawati, D., &amp; Supardi, S. (2022). Efektivitas Penggunaan Aplikasi Head to Toe (HETTO) Terhadap Peningkatan Kemampuan Mahasiswa Melakukan Pemeriksaan Fisik. Jurnal Ilmiah Permas, Vol.12, No.3, Hal 603-614.</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Christanto, E. Y., Zainaro, A., &amp; Sandi, A. G. (2022). Efektivitas GIM Terhadap Penurunan Tekanan Darah pada Lansia dengan Hipertensi. jurnal PKM.</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Dewayani, J. K., Faizah, A. K., &amp; Kresnamurti, A. (2023). Evaluasi Tingkat Kepatuhan Minum Obat Pasien Hipertensi Menggunakan Metode MMAS-8. Jurnal farmasi dan teknologi, jil.4, No,1.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Dewayanti, J. K., Faizah, A. K., &amp; Kresnamurti, A. (2023). Evaluasi Tingkat Kepatuhan Minum obat Pasien Hipertensi Di Puskesmas Menggunakan Metode MMAS-8. jurnal of pharmacy science and technology, hal 25-26.</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Fauziyah, K. (2020). Polifamasi Pada Pasien Denan Diaetes Mellitus . junal Universitas Airlangga, Vol.2, No.1, Hal 4.</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Fiana, F. K., &amp; Indarjo, S. (2024). Analisis Faktot-Faktor yang Mempengaruhi Kejadian Hipertensi. Jurnal Higeia UNNES.</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Fitrianingsih, D., &amp; Megasari, K. (2022). Efikasi Diri dan Gaya Hidup Lansia Dengan Hipertensi. Jurnal JKFT, Vol.7 No.2.</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Gea, F., Hulu, A. H., &amp; Lase, N. K. (2024). Analisis Sistem Gerak Yang Mempengaruhi Keseimbangan Tubuh Lansia. Jurnal intelektual, Vol.5 No.3.</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Hanna, R. (2024). Genetik Dalam Penyakit Hipertensi. Jurnal Hipertensi Manusia.</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Hasanah, Y. R., &amp; Nugroho, S. (2022). Pengaruh Kepribadian Dan Motivasi Terhadap Perilaku . Jurnal UNIB.</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Hasibuan, A. R., Pasaribu, A. F., &amp; S. A. (2024). Peran Pendidikan Kesehatan Dalam Meningkatkan Kesadaran Masyarakat Terhadap Pola Hidup Sehat. Jurnal Kependidikan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Hasnawati. (2021). Hipertensi.</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Herawati, A. T., H. Manaf, &amp; Kusumawati, E. P. (2021). Pengetahuan Tentang Penanganan Penyakit Hipertensi. Jurnal Ilmiah Kesehatan Pencerah, Vol 10, No 2, Hal 159-165.</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Hernawan, B., &amp; Prestiaji, U. (2023). Faktor Risiko Kejadian Hipertensi Pada Usia Dewasa Muda. Jurnal Penelitian Kesehatan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Heryyanoor, Pertiwi, M. P., &amp; Hardiyanti, D. ( 2023). tentang penerapan dokumentasi keperawatan. Jurnal Ners, Hal 1230.</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Ibrahim. (2023 ). Asuhan Keperawatan Lansia Dengan Hipertensi. idea nursing jornal, Vol.2, No.1.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irawan, D. i., Siwi, A. S., &amp; Susanto, A. (2020). Analisis Faktor-Faktor Yang Memengaruhi Kejadian Hipertensi. Jurnal Of Bionursing, VOL. 3, NO. 2, hal 164-166.</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Istarini, A., Gading, P. W., Mulyadi, D., &amp; Hanina . (2022). Pemeriksaan Status Gizi dan Edukasi Nutrisi Pada Pasien Hipertensi. Jurnal Pengabdian kepada Masyarakat, Vol.5, No.2, Hal 422-425.</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Istianti, &amp; Fijianto. (2021). Penerapan Tindakan Senam Pada Lansia Hipertensi Untuk Menurunkan Tekanan Darah . Jurnal Seminar Nasional Kesehatan, hal 585-589.</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Kharisyanti, F., &amp; Farapti . (2022). Status Sosial Ekonomi Dan Kejadian Hipertensi. Jurnal MKMI.</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Kurdi, F., Susumaningrum, L. A., Rasni, H., &amp; Tantut Susanto, T. (2022). Implementasi Pencegahan Komplikasi Hipertensi. Jurnal Pengabdian Kepada Masyarakat, Vol.4, No.(1), Hal 41-45,.</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Lukitaningtyas, D., &amp; Cahyono, E. A. (2023). Hipertensi. Jurnal Pengembangan Ilmu dan Praktik Kesehatan.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Manafe, L. A., &amp; Berhimpon, I. (2022). Hubungan Tingkat Depresi Lansia Dengan Interaksi Sosial Lansia D i Bpslut Senja Cerah Manado. jurnal ilmiah Hospitality, Vol.II No.1.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Medan, S. S. (2023). Korelasi Kebutuhan Spiritual dengan Kualitas Hidup Lansia. Jurnal Kesehatan Indonesia.</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Mellisa, S., &amp; Zuraida, R. (2025). Pendekatan Hipertensi dan Obesitas Derajat HI. Jurnal Penelitian Perawat Indonesia.</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Mufida, I., &amp; Sumiatin, T. (2024). Pentingnya Dukungan Keluarga dengan Upaya Pencegahan Komplikasi . Jurnal Ilmu Kesehatan.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Mujiadi, &amp; Rachmah. (2021). buku ajar keperawatan. In cv jejak, anggota IKAPI.</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Musniati, Mawadah, S., &amp; Sulastien, H. (2023). Upaya Peningkatan Pengetahuan Masyarakat dalam Pencegahan Komplikasi Hipertensi.</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muttaqin, m. Z. (Kemenkes 2022, juni kamis). Diit Hipertensi Darah Tinggi (DASH). Kemenkes.</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Nadiyah. (2023). Asuhan Keperawatan Pada Lansia Hipertensi. jurnal Poltekkes Denpasar.</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Novitaria, Y. (2022). hipertensi pada Lansia. Karya Tulis Ilmiah.</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Nuryanti. (2021). Uji Coba Instrumen Pengkajian Keperawatan Medikal Bedah Berbasis Pola Fungsional Kesehatan Gordon. Jurnal Stikes William, Hal 3.</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Pawestri, D., &amp; Ismoyowati, T. W. (2022). Hipertensi Pada Masalah Nyeri Akut. Jurnal Stikes Bhetesda.</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Pebriani, R. (2023). Pengaruh Diet Terhadap Penurunan Tekanan Darah Pada Penderita Hipertensi. Jurnal Ilmiah Kesehatan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Permatasari, R., Suriani, E., &amp; Kurniawan. (2022). Hubungan kadar kolesterol total dengan tekanan darah pada pasien hipertensi. Jurnal Labora Medika, Hal 16 - 21.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Prastika, Y. D., &amp; Siyam, N. (2021). Faktor Resiko Kualitas Hidup Lansia Penderita Hipertensi. jurnal kesehatan masyarakat, Jil.1 No.3.</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Prastiwi, D., Makmuriana, L., &amp; Aminah, S. (Januari 2024). Pedoman Praktik Pemeriksaan Fisik Dalam Keperawatan. Yogyakarta: PT. Green Pustaka Indonesia.</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Pratiwi, G. D., Lucya, V., &amp; Paramitha. (2022). Efektivitas Penggunaan Media Leaflet Dalam Peningkatan Pengetahuan. Jurnal Keperawatan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Putri, D. E. (2021). Hubungan Fungsi Kognitif Dengan Kualitas Hidup Lansia. Jurnal Inovasi Penelitian, Vol.2, No.4, Hal 1147.</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 Y., Haereti, &amp; Makmur. (2023). Faktor Yang Berhubungan Dengan Ketidakpatuhan Minum Obat Pada Lansia Penderita Hipertensi. Jurnal Ilmiah Kesehatan, Hal 395-396.</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Rahmadhani, M. (2021). Faktor-Faktor yang mempengaruhi terjadinya Hipertensi pada Masyarakat. jurnal kedokteran STM.</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Rahman, S. (2021). Pentingnya motivasi . Jurnal pendidikan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Riani, R. I., Nugraheni, S. A., &amp; F. A. (2023). Pengaruh Aplikasi Pengingat Minum Obat (APMO) Terhadap Kepatuhan Terapi. Jurnal Keperawatan, Vol.5, No.3.</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Risfi, S., &amp; Hasneli . (2019). Kemandirian Pada Usia Lanjut. Jurnal Psikologi Islam, 10 (2), 152-165.</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Riyada, F., &amp; Fauziah, S. A. (2024). Faktor Yang Mempengaruhi Terjadinya Resiko Hipertensi Pada Lansia. Jurnal Scientific.</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Riyada, F., Fauziah, S. A., Liana, N., &amp; Hasni, D. (2024). Faktor yang Mempengaruhi Terjadinya Resiko Hipertensi pada Lansia. jurnal scientific.</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Siagian, I. O., Siboro, E., &amp; Julianti. (2022). Hubungan Dukungan Keluarga dengan Kepatuhan Minum Obat . Jurnal Kesehatan.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Sihombing, E. P., Hidayat, W., &amp; Sinaga, J. (2023). Faktor Risiko Hipertensi. journal universitas pahlawan, Vol.7, No.3 Hal 16089-16105.</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Silaban, N. Y., &amp; Situmorang, P. R. (2022). Hubungan Dukungan Keluarga dengan Tingkat Kepatuhan Melakukan Kontrol Rutin. Jurnal Sains dan Teknologi.</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Suarayasa, K., Hidayat, M., &amp; Gau, R. (2023). faktor hipertensi pada lansia. jurnal profesi medis, jil.5 No.3.</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Suprayitno, E., &amp; Huzaimah, N. (2020). Pendampingan lansia dalam pencegahan komplikasi hipertensi. Jurnal Pengabdian Masyarakat Berkemajuan, 4 (1), 518-521.</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Susanti, S., Bujawati, E., Sadarang, A. A., &amp; Ihwana, D. (2022). Hubungan self efficacy dengan manajemen diri penderita hipertensi. Jurnal Kesmas Jambi, Vol.6, No.2. Hal 48-58.</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Susanto. (2021). Penatalaksanaan Hipertensi Lansia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T. R., Stoenoiu, M. S., &amp; Burnier, M. (2024). Mengoptimalkan Kepatuhan Pengobatan Hipertensi. jurnal jantung poli, Jil.82, No.3.</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Winarto, E. (2023). Penurunan Tekanan Darah Penderita Hipertensi. Jurnal Malahayati.</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Yuliana, R., Haerati, &amp; Makmur, A. S. (2023). Faktor Yang Berhubungan Dengan Ketidakpatuhan Minum Obat Pada Lansia Penderita Hipertensi. Jurnal Ilmiah Kesehatan.</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Yuliyani, E. A., Kadriyan, H., &amp; Yudhanto, D. (2022). Pemeriksaan Kesehatan Telinga Pada Lansia . Jurnal Abdi Insani, vol.9 No.2.</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Yuniarti. (2024). Gambar karakteristik terapi bekam kering dan akupresur terhadap tekanan darah lansia dengan Hipertensi. Jurnal Ilmiah Permas, Jurnal imiah STIKES Kendal , hal 14 (3).</w:t>
      </w:r>
      <w:r>
        <w:rPr>
          <w:rFonts w:cs="Times New Roman" w:hAnsi="Times New Roman"/>
          <w:bCs/>
          <w:noProof/>
          <w:sz w:val="24"/>
          <w:szCs w:val="24"/>
          <w:lang w:val="en-US"/>
        </w:rPr>
        <w:t xml:space="preserve"> </w:t>
      </w:r>
    </w:p>
    <w:p>
      <w:pPr>
        <w:pStyle w:val="style0"/>
        <w:numPr>
          <w:ilvl w:val="0"/>
          <w:numId w:val="0"/>
        </w:numPr>
        <w:spacing w:after="0" w:lineRule="auto" w:line="240"/>
        <w:ind w:left="720" w:hanging="720"/>
        <w:jc w:val="both"/>
        <w:rPr>
          <w:rFonts w:ascii="Times New Roman" w:cs="Times New Roman" w:hAnsi="Times New Roman"/>
          <w:bCs/>
          <w:noProof/>
          <w:sz w:val="24"/>
          <w:szCs w:val="24"/>
        </w:rPr>
      </w:pPr>
    </w:p>
    <w:p>
      <w:pPr>
        <w:pStyle w:val="style265"/>
        <w:spacing w:after="0" w:lineRule="auto" w:line="240"/>
        <w:ind w:left="720" w:hanging="720"/>
        <w:jc w:val="both"/>
        <w:rPr>
          <w:rFonts w:ascii="Times New Roman" w:cs="Times New Roman" w:hAnsi="Times New Roman"/>
          <w:bCs/>
          <w:noProof/>
          <w:sz w:val="24"/>
          <w:szCs w:val="24"/>
        </w:rPr>
      </w:pPr>
      <w:r>
        <w:rPr>
          <w:rFonts w:ascii="Times New Roman" w:cs="Times New Roman" w:hAnsi="Times New Roman"/>
          <w:bCs/>
          <w:noProof/>
          <w:sz w:val="24"/>
          <w:szCs w:val="24"/>
          <w:lang w:val="en-US"/>
        </w:rPr>
        <w:t>Zhang, Y. (2021). Keandalan dan Validitas Skala Kepatuhan Obat Morisky 8. Annals Of Palliative Medicine.</w:t>
      </w:r>
    </w:p>
    <w:p>
      <w:pPr>
        <w:pStyle w:val="style265"/>
        <w:spacing w:lineRule="auto" w:line="240"/>
        <w:jc w:val="both"/>
        <w:rPr/>
      </w:pPr>
    </w:p>
    <w:p>
      <w:pPr>
        <w:pStyle w:val="style0"/>
        <w:rPr>
          <w:rFonts w:ascii="Calibri Light" w:cs="Calibri Light" w:hAnsi="Calibri Light"/>
          <w:lang w:val="id-ID"/>
        </w:rPr>
      </w:pPr>
    </w:p>
    <w:sectPr>
      <w:footerReference w:type="default" r:id="rId4"/>
      <w:pgSz w:w="11906" w:h="16838" w:orient="portrait"/>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200247B"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 w:name="Quattrocento Sans">
    <w:altName w:val="Calibri"/>
    <w:panose1 w:val="00000000000000000000"/>
    <w:charset w:val="00"/>
    <w:family w:val="swiss"/>
    <w:pitch w:val="variable"/>
    <w:sig w:usb0="800000BF" w:usb1="4000005B" w:usb2="0000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rPr/>
      <w:fldChar w:fldCharType="begin"/>
    </w:r>
    <w:r>
      <w:instrText xml:space="preserve"> PAGE   \* MERGEFORMAT </w:instrText>
    </w:r>
    <w:r>
      <w:rPr/>
      <w:fldChar w:fldCharType="separate"/>
    </w:r>
    <w:r>
      <w:rPr>
        <w:noProof/>
      </w:rPr>
      <w:t>2</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5C42614"/>
    <w:lvl w:ilvl="0" w:tplc="38090015">
      <w:start w:val="1"/>
      <w:numFmt w:val="upp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
    <w:nsid w:val="00000001"/>
    <w:multiLevelType w:val="hybridMultilevel"/>
    <w:tmpl w:val="50EE2544"/>
    <w:lvl w:ilvl="0" w:tplc="588A20BE">
      <w:start w:val="1"/>
      <w:numFmt w:val="decimal"/>
      <w:lvlText w:val="%1."/>
      <w:lvlJc w:val="left"/>
      <w:pPr>
        <w:ind w:left="360" w:hanging="360"/>
      </w:pPr>
      <w:rPr>
        <w:rFonts w:ascii="Times New Roman" w:cs="Times New Roman" w:eastAsia="Calibri" w:hAnsi="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nsid w:val="00000002"/>
    <w:multiLevelType w:val="hybridMultilevel"/>
    <w:tmpl w:val="55867D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ID" w:bidi="ar-SA" w:eastAsia="en-US"/>
      </w:rPr>
    </w:rPrDefault>
    <w:pPrDefault>
      <w:pPr>
        <w:spacing w:after="160" w:lineRule="auto" w:line="259"/>
      </w:pPr>
    </w:pPrDefault>
  </w:docDefaults>
  <w:style w:type="paragraph" w:default="1" w:styleId="style0">
    <w:name w:val="Normal"/>
    <w:next w:val="style0"/>
    <w:qFormat/>
    <w:pPr>
      <w:spacing w:after="200" w:lineRule="auto" w:line="276"/>
    </w:pPr>
    <w:rPr>
      <w:rFonts w:ascii="Calibri" w:cs="Calibri" w:eastAsia="Calibri" w:hAnsi="Calibri"/>
      <w:lang w:val="en-US"/>
    </w:rPr>
  </w:style>
  <w:style w:type="paragraph" w:styleId="style1">
    <w:name w:val="heading 1"/>
    <w:basedOn w:val="style0"/>
    <w:next w:val="style0"/>
    <w:link w:val="style4101"/>
    <w:qFormat/>
    <w:uiPriority w:val="9"/>
    <w:pPr>
      <w:keepNext/>
      <w:keepLines/>
      <w:spacing w:before="240" w:after="0" w:lineRule="auto" w:line="259"/>
      <w:outlineLvl w:val="0"/>
    </w:pPr>
    <w:rPr>
      <w:rFonts w:ascii="Calibri Light" w:cs="宋体" w:eastAsia="宋体" w:hAnsi="Calibri Light"/>
      <w:color w:val="2f5496"/>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character" w:customStyle="1" w:styleId="style4097">
    <w:name w:val="selectable-text1"/>
    <w:basedOn w:val="style65"/>
    <w:next w:val="style4097"/>
    <w:rPr>
      <w:rFonts w:cs="Times New Roman"/>
    </w:rPr>
  </w:style>
  <w:style w:type="character" w:customStyle="1" w:styleId="style4098">
    <w:name w:val="Unresolved Mention"/>
    <w:basedOn w:val="style65"/>
    <w:next w:val="style4098"/>
    <w:uiPriority w:val="99"/>
    <w:rPr>
      <w:color w:val="605e5c"/>
      <w:shd w:val="clear" w:color="auto" w:fill="e1dfdd"/>
    </w:rPr>
  </w:style>
  <w:style w:type="paragraph" w:styleId="style31">
    <w:name w:val="header"/>
    <w:basedOn w:val="style0"/>
    <w:next w:val="style31"/>
    <w:link w:val="style4099"/>
    <w:uiPriority w:val="99"/>
    <w:pPr>
      <w:tabs>
        <w:tab w:val="center" w:leader="none" w:pos="4513"/>
        <w:tab w:val="right" w:leader="none" w:pos="9026"/>
      </w:tabs>
      <w:spacing w:after="0" w:lineRule="auto" w:line="240"/>
    </w:pPr>
    <w:rPr/>
  </w:style>
  <w:style w:type="character" w:customStyle="1" w:styleId="style4099">
    <w:name w:val="Header Char_79288710-2e21-41a5-b0d5-ba5b7b766595"/>
    <w:basedOn w:val="style65"/>
    <w:next w:val="style4099"/>
    <w:link w:val="style31"/>
    <w:uiPriority w:val="99"/>
    <w:rPr>
      <w:rFonts w:ascii="Calibri" w:cs="Calibri" w:eastAsia="Calibri" w:hAnsi="Calibri"/>
      <w:lang w:val="en-US"/>
    </w:rPr>
  </w:style>
  <w:style w:type="paragraph" w:styleId="style32">
    <w:name w:val="footer"/>
    <w:basedOn w:val="style0"/>
    <w:next w:val="style32"/>
    <w:link w:val="style4100"/>
    <w:uiPriority w:val="99"/>
    <w:pPr>
      <w:tabs>
        <w:tab w:val="center" w:leader="none" w:pos="4513"/>
        <w:tab w:val="right" w:leader="none" w:pos="9026"/>
      </w:tabs>
      <w:spacing w:after="0" w:lineRule="auto" w:line="240"/>
    </w:pPr>
    <w:rPr/>
  </w:style>
  <w:style w:type="character" w:customStyle="1" w:styleId="style4100">
    <w:name w:val="Footer Char_252d3104-0492-4a5c-9a4a-f17adcdefc7a"/>
    <w:basedOn w:val="style65"/>
    <w:next w:val="style4100"/>
    <w:link w:val="style32"/>
    <w:uiPriority w:val="99"/>
    <w:rPr>
      <w:rFonts w:ascii="Calibri" w:cs="Calibri" w:eastAsia="Calibri" w:hAnsi="Calibri"/>
      <w:lang w:val="en-US"/>
    </w:rPr>
  </w:style>
  <w:style w:type="paragraph" w:styleId="style34">
    <w:name w:val="caption"/>
    <w:basedOn w:val="style0"/>
    <w:next w:val="style0"/>
    <w:qFormat/>
    <w:uiPriority w:val="35"/>
    <w:pPr>
      <w:spacing w:lineRule="auto" w:line="240"/>
    </w:pPr>
    <w:rPr>
      <w:i/>
      <w:iCs/>
      <w:color w:val="44546a"/>
      <w:sz w:val="18"/>
      <w:szCs w:val="18"/>
    </w:rPr>
  </w:style>
  <w:style w:type="paragraph" w:styleId="style179">
    <w:name w:val="List Paragraph"/>
    <w:basedOn w:val="style0"/>
    <w:next w:val="style179"/>
    <w:link w:val="style4102"/>
    <w:qFormat/>
    <w:uiPriority w:val="34"/>
    <w:pPr>
      <w:ind w:left="720"/>
      <w:contextualSpacing/>
    </w:pPr>
    <w:rPr/>
  </w:style>
  <w:style w:type="character" w:customStyle="1" w:styleId="style4101">
    <w:name w:val="Heading 1 Char_aaf9b95e-99de-4921-9016-4c90cebc1b2c"/>
    <w:basedOn w:val="style65"/>
    <w:next w:val="style4101"/>
    <w:link w:val="style1"/>
    <w:uiPriority w:val="9"/>
    <w:rPr>
      <w:rFonts w:ascii="Calibri Light" w:cs="宋体" w:eastAsia="宋体" w:hAnsi="Calibri Light"/>
      <w:color w:val="2f5496"/>
      <w:sz w:val="32"/>
      <w:szCs w:val="32"/>
      <w:lang w:val="en-US"/>
    </w:rPr>
  </w:style>
  <w:style w:type="paragraph" w:styleId="style265">
    <w:name w:val="Bibliography"/>
    <w:basedOn w:val="style0"/>
    <w:next w:val="style0"/>
    <w:uiPriority w:val="37"/>
    <w:pPr/>
  </w:style>
  <w:style w:type="character" w:customStyle="1" w:styleId="style4102">
    <w:name w:val="List Paragraph Char"/>
    <w:next w:val="style4102"/>
    <w:link w:val="style179"/>
    <w:qFormat/>
    <w:uiPriority w:val="34"/>
    <w:rPr>
      <w:rFonts w:ascii="Calibri" w:cs="Calibri" w:eastAsia="Calibri" w:hAnsi="Calibri"/>
      <w:lang w:val="en-US"/>
    </w:rPr>
  </w:style>
  <w:style w:type="paragraph" w:styleId="style94">
    <w:name w:val="Normal (Web)"/>
    <w:basedOn w:val="style0"/>
    <w:next w:val="style94"/>
    <w:pPr>
      <w:spacing w:before="100" w:beforeAutospacing="true" w:after="100" w:afterAutospacing="true" w:lineRule="auto" w:line="240"/>
      <w:ind w:left="0" w:right="0"/>
    </w:pPr>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oter" Target="footer1.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Mag23</b:Tag>
    <b:SourceType>JournalArticle</b:SourceType>
    <b:Guid>{5EAC257D-9AF9-4036-BCED-CF1A29DE0AFB}</b:Guid>
    <b:Title>Hubungan Kepatuhan Diet Dengan Perubahan Kadar Gula Darah</b:Title>
    <b:JournalName>Jurnal Buana Of Nursing</b:JournalName>
    <b:Year>2023</b:Year>
    <b:Pages>1-8</b:Pages>
    <b:Author>
      <b:Author>
        <b:NameList>
          <b:Person>
            <b:Last>Magfiroh</b:Last>
            <b:Middle>Nur </b:Middle>
            <b:First>Yuli </b:First>
          </b:Person>
          <b:Person>
            <b:Last>Nurhastuti</b:Last>
            <b:Middle>Fajar </b:Middle>
            <b:First>Ria </b:First>
          </b:Person>
        </b:NameList>
      </b:Author>
    </b:Author>
    <b:RefOrder>1</b:RefOrder>
  </b:Source>
  <b:Source>
    <b:Tag>Nov22</b:Tag>
    <b:SourceType>JournalArticle</b:SourceType>
    <b:Guid>{A1806865-99B3-455B-960D-D135E1112F21}</b:Guid>
    <b:Title>Edukasi Komplikasi Terjadinya Hipertensi Dan Peranan Konsumsi Obat Hipertensi Pada Penderita Diabetes Mellitus Usia Lansia Di Puskesmas Lubuk Buaya </b:Title>
    <b:JournalName>Jurnal Pengabdian Kepada Masyarakat</b:JournalName>
    <b:Year>2022</b:Year>
    <b:Pages>545-550</b:Pages>
    <b:Author>
      <b:Author>
        <b:NameList>
          <b:Person>
            <b:Last>Nova</b:Last>
            <b:First>Riki </b:First>
          </b:Person>
          <b:Person>
            <b:Last>Hasni</b:Last>
            <b:First>Dita </b:First>
          </b:Person>
        </b:NameList>
      </b:Author>
    </b:Author>
    <b:RefOrder>2</b:RefOrder>
  </b:Source>
  <b:Source>
    <b:Tag>Yun24</b:Tag>
    <b:SourceType>JournalArticle</b:SourceType>
    <b:Guid>{5FB05DB5-23F2-4578-A0C3-E4C5A8790E56}</b:Guid>
    <b:Title>Hubungan Kepatuhan Diet Pada Pasien Diabetes Melitus  Tipe II Dengan Penyembuhan Luka Diabetik</b:Title>
    <b:JournalName>Jurnal Assyifa’ Ilmu Kesehatan</b:JournalName>
    <b:Year>2024</b:Year>
    <b:Pages>62-68</b:Pages>
    <b:Author>
      <b:Author>
        <b:NameList>
          <b:Person>
            <b:Last>Yunanda</b:Last>
            <b:First>Erdira</b:First>
          </b:Person>
        </b:NameList>
      </b:Author>
    </b:Author>
    <b:RefOrder>3</b:RefOrder>
  </b:Source>
  <b:Source>
    <b:Tag>Sut23</b:Tag>
    <b:SourceType>JournalArticle</b:SourceType>
    <b:Guid>{D52A78AF-6873-48EB-90BB-3276EEB15B0B}</b:Guid>
    <b:Title> Pengaruh Konsumsi Daun Blimbing Wuluh Terhadap Hipertensi</b:Title>
    <b:Year>2023</b:Year>
    <b:Author>
      <b:Author>
        <b:NameList>
          <b:Person>
            <b:First>Sutomo</b:First>
          </b:Person>
          <b:Person>
            <b:Last>Purwanto</b:Last>
            <b:Middle>Hadi </b:Middle>
            <b:First>Nasrul </b:First>
          </b:Person>
        </b:NameList>
      </b:Author>
    </b:Author>
    <b:Pages>1-15</b:Pages>
    <b:JournalName>Jurnal Keperawatan</b:JournalName>
    <b:RefOrder>5</b:RefOrder>
  </b:Source>
  <b:Source>
    <b:Tag>IDF21</b:Tag>
    <b:SourceType>JournalArticle</b:SourceType>
    <b:Guid>{C2DAF34A-9E29-4F67-8594-38C99755D6AF}</b:Guid>
    <b:Title>International Diabetes Federation</b:Title>
    <b:Year>2021</b:Year>
    <b:Author>
      <b:Author>
        <b:NameList>
          <b:Person>
            <b:Last>IDF</b:Last>
          </b:Person>
        </b:NameList>
      </b:Author>
    </b:Author>
    <b:RefOrder>4</b:RefOrder>
  </b:Source>
  <b:Source>
    <b:Tag>KEM23</b:Tag>
    <b:SourceType>Book</b:SourceType>
    <b:Guid>{6BB101DB-1346-4614-BFDD-BE82A708C4D1}</b:Guid>
    <b:Title> Profil Kesehatan Indonesia 2022</b:Title>
    <b:Year>2023</b:Year>
    <b:City>Indonesia</b:City>
    <b:Publisher>Kementerian Kesehatan Republik Indonesia</b:Publisher>
    <b:Author>
      <b:Author>
        <b:NameList>
          <b:Person>
            <b:First>Kemenkes RI</b:First>
          </b:Person>
        </b:NameList>
      </b:Author>
    </b:Author>
    <b:RefOrder>6</b:RefOrder>
  </b:Source>
  <b:Source>
    <b:Tag>DIN23</b:Tag>
    <b:SourceType>Book</b:SourceType>
    <b:Guid>{89A32000-A8E4-4F2D-A7C6-BEC1184F7D09}</b:Guid>
    <b:Title>Provil Kesehatan Provinsi Jawa Timur Tahun 2022</b:Title>
    <b:Year>2023</b:Year>
    <b:City>Jawa Timur</b:City>
    <b:Publisher> Dinkes. Jatimprov.Go.Id</b:Publisher>
    <b:Author>
      <b:Author>
        <b:NameList>
          <b:Person>
            <b:First>Dinkes Jatim </b:First>
          </b:Person>
        </b:NameList>
      </b:Author>
    </b:Author>
    <b:RefOrder>7</b:RefOrder>
  </b:Source>
  <b:Source>
    <b:Tag>DIN231</b:Tag>
    <b:SourceType>JournalArticle</b:SourceType>
    <b:Guid>{F75E0AFA-2010-4412-8E34-E42333F1C9CD}</b:Guid>
    <b:Title>Dinas Kesehatan Kabupaten Ponorogo</b:Title>
    <b:JournalName>Pemerintah Kabupaten Ponorogo</b:JournalName>
    <b:Year>2024</b:Year>
    <b:Pages>1</b:Pages>
    <b:Author>
      <b:Author>
        <b:NameList>
          <b:Person>
            <b:First>Dinkes Ponorogo</b:First>
          </b:Person>
        </b:NameList>
      </b:Author>
    </b:Author>
    <b:RefOrder>8</b:RefOrder>
  </b:Source>
  <b:Source>
    <b:Tag>Pav21</b:Tag>
    <b:SourceType>JournalArticle</b:SourceType>
    <b:Guid>{D0B1BC65-3A07-4569-BEBE-3081022A9C6D}</b:Guid>
    <b:Title>Diabesity And Dietary Intervensions: Evaluating the Impact of Mediterranean Died and Other Types of Diets on Obesyty and Type 2 Diabetes Management</b:Title>
    <b:JournalName>Nutrients</b:JournalName>
    <b:Year>2023</b:Year>
    <b:Pages>1-17</b:Pages>
    <b:Author>
      <b:Author>
        <b:NameList>
          <b:Person>
            <b:Last>Pavlidou</b:Last>
            <b:First>Eleni </b:First>
          </b:Person>
        </b:NameList>
      </b:Author>
    </b:Author>
    <b:RefOrder>9</b:RefOrder>
  </b:Source>
  <b:Source>
    <b:Tag>Fal22</b:Tag>
    <b:SourceType>JournalArticle</b:SourceType>
    <b:Guid>{30A2F72A-4E53-4266-A212-564FA05CBFF0}</b:Guid>
    <b:Title>EdukasiPengelolaan Diet 3 J untuk MengontrolKadar Glukosa Darah pada Masyarakat Penderita Diabetes Mellitus di Wilayah Kerja Puskesmas Kota Timur</b:Title>
    <b:JournalName>JURNAL ALTIFANI, Penelitian dan Pengabdian kepada Masyarakat</b:JournalName>
    <b:Year>2022</b:Year>
    <b:Pages>411-418</b:Pages>
    <b:Author>
      <b:Author>
        <b:NameList>
          <b:Person>
            <b:Last>Falah</b:Last>
            <b:First>Fakhriatul </b:First>
          </b:Person>
          <b:Person>
            <b:Last>Apriana</b:Last>
            <b:First> Rista Apriana</b:First>
          </b:Person>
        </b:NameList>
      </b:Author>
    </b:Author>
    <b:RefOrder>10</b:RefOrder>
  </b:Source>
  <b:Source>
    <b:Tag>SIK18</b:Tag>
    <b:SourceType>Book</b:SourceType>
    <b:Guid>{0E94F687-0494-4C29-BF88-245D155CC8E7}</b:Guid>
    <b:Title>Standar Intervensi Keperawatan Indonesia, Definisi dan Tindakan Keperawatan</b:Title>
    <b:Year>2018</b:Year>
    <b:Publisher>DPP, PPNI</b:Publisher>
    <b:Author>
      <b:Author>
        <b:NameList>
          <b:Person>
            <b:Last>SIKI PPNI</b:Last>
            <b:First>Tim Pokja </b:First>
          </b:Person>
        </b:NameList>
      </b:Author>
    </b:Author>
    <b:RefOrder>11</b:RefOrder>
  </b:Source>
  <b:Source>
    <b:Tag>Zha</b:Tag>
    <b:SourceType>JournalArticle</b:SourceType>
    <b:Guid>{AD6FA08F-9DB7-4870-A1B2-FAD86BA432A8}</b:Guid>
    <b:Author>
      <b:Author>
        <b:NameList>
          <b:Person>
            <b:Last>Zhang</b:Last>
            <b:First>Yongwen </b:First>
          </b:Person>
          <b:Person>
            <b:Last>Han </b:Last>
            <b:First>Huanhuan </b:First>
          </b:Person>
        </b:NameList>
      </b:Author>
    </b:Author>
    <b:Title>Effectiveness of restricted diet with a plate in patients with type 2 diabetes: A randomized controlled trial</b:Title>
    <b:JournalName>Elsevier, Primary Care Diabetes</b:JournalName>
    <b:Year>2022</b:Year>
    <b:Pages>3628-374</b:Pages>
    <b:RefOrder>12</b:RefOrder>
  </b:Source>
  <b:Source>
    <b:Tag>Del211</b:Tag>
    <b:SourceType>JournalArticle</b:SourceType>
    <b:Guid>{45D5422A-C48A-4D98-9FCB-B0DD9A725243}</b:Guid>
    <b:Title>Analisis Determinan Faktor Risiko Kejadian Diabetes Mellitus Tipe 2 Pada Usia Produktif</b:Title>
    <b:JournalName>Jurnal Kesehatan Tambusai</b:JournalName>
    <b:Year>2021</b:Year>
    <b:Pages>141-151</b:Pages>
    <b:Author>
      <b:Author>
        <b:NameList>
          <b:Person>
            <b:Last>Delfina</b:Last>
            <b:First>Sheila </b:First>
          </b:Person>
        </b:NameList>
      </b:Author>
    </b:Author>
    <b:RefOrder>13</b:RefOrder>
  </b:Source>
  <b:Source>
    <b:Tag>Sas21</b:Tag>
    <b:SourceType>JournalArticle</b:SourceType>
    <b:Guid>{E3714BBC-DD80-40A5-99C2-6EF1161C4F78}</b:Guid>
    <b:Title>Faktor-Faktor Yang Memengaruhi Tingkat Kepatuhan Berobat Pasien</b:Title>
    <b:JournalName>Jurnal Medika Hutama</b:JournalName>
    <b:Year>2021</b:Year>
    <b:Pages>1105-1111</b:Pages>
    <b:Author>
      <b:Author>
        <b:NameList>
          <b:Person>
            <b:Last>Sasmita</b:Last>
            <b:Middle>Marta Dwi</b:Middle>
            <b:First>Anggi  </b:First>
          </b:Person>
        </b:NameList>
      </b:Author>
    </b:Author>
    <b:RefOrder>14</b:RefOrder>
  </b:Source>
  <b:Source>
    <b:Tag>Mur21</b:Tag>
    <b:SourceType>JournalArticle</b:SourceType>
    <b:Guid>{0630FCE6-2AEB-4A18-AE7C-6CA38E63A5B6}</b:Guid>
    <b:Title>Gaya Hidup Sebagai Faktor Risiko Deabetes Mellitus Tipe 2</b:Title>
    <b:JournalName>e-Clinic</b:JournalName>
    <b:Year>2021</b:Year>
    <b:Author>
      <b:Author>
        <b:NameList>
          <b:Person>
            <b:Last>Murtiningsih</b:Last>
            <b:First>Made</b:First>
            <b:Middle>K</b:Middle>
          </b:Person>
        </b:NameList>
      </b:Author>
    </b:Author>
    <b:RefOrder>15</b:RefOrder>
  </b:Source>
  <b:Source>
    <b:Tag>PPN16</b:Tag>
    <b:SourceType>JournalArticle</b:SourceType>
    <b:Guid>{E02DF393-641B-43C9-A642-432C8687A66E}</b:Guid>
    <b:Title>Standar Diagnosis Keperawatan Indonesia, Definisi dan Indikator Diagnostik</b:Title>
    <b:JournalName>DPP, Persatuan Perawat Nasional Indonesia</b:JournalName>
    <b:Year>2016</b:Year>
    <b:Pages>1-326</b:Pages>
    <b:Author>
      <b:Author>
        <b:NameList>
          <b:Person>
            <b:Last>SDKI  PPNI</b:Last>
            <b:First>Tim Pokja </b:First>
          </b:Person>
        </b:NameList>
      </b:Author>
    </b:Author>
    <b:RefOrder>16</b:RefOrder>
  </b:Source>
  <b:Source>
    <b:Tag>Phi13</b:Tag>
    <b:SourceType>JournalArticle</b:SourceType>
    <b:Guid>{E61040E9-EE25-433F-86C8-BC01B2033F14}</b:Guid>
    <b:Title>Hubungan Antara Pengetahuan Dan Sikap Penderita Diabetes Mellitus Dengan Kepatuhan Diet Diabetes Mellitus Di Rsud Am. Parikesit Kalimantan Timur</b:Title>
    <b:JournalName>Jurnal Keperawatan Medikal Bedah</b:JournalName>
    <b:Year>2016</b:Year>
    <b:Author>
      <b:Author>
        <b:NameList>
          <b:Person>
            <b:Last>Phitri</b:Last>
            <b:Middle>Essy</b:Middle>
            <b:First>Herlena </b:First>
          </b:Person>
        </b:NameList>
      </b:Author>
    </b:Author>
    <b:RefOrder>20</b:RefOrder>
  </b:Source>
  <b:Source>
    <b:Tag>Roc22</b:Tag>
    <b:SourceType>JournalArticle</b:SourceType>
    <b:Guid>{34F829F0-38A6-4C82-8008-4E19F36EB1D9}</b:Guid>
    <b:Title>Efektifitas Pendidikan Kesehatan Dengan Flipchart Terhadap Pengetahuan Dan Kepatuhan Pasien Dalam Melaksanakan Program Diet Pada Pasien Diabetes Mellitus  </b:Title>
    <b:JournalName>Jurnal Wacana Kesehatan </b:JournalName>
    <b:Year>2022</b:Year>
    <b:Author>
      <b:Author>
        <b:NameList>
          <b:Person>
            <b:Last>Rochani</b:Last>
            <b:First>Siti </b:First>
          </b:Person>
        </b:NameList>
      </b:Author>
    </b:Author>
    <b:RefOrder>17</b:RefOrder>
  </b:Source>
  <b:Source>
    <b:Tag>Res15</b:Tag>
    <b:SourceType>JournalArticle</b:SourceType>
    <b:Guid>{A712F75C-0D2C-49C1-9BD3-6A9EADD1589F}</b:Guid>
    <b:Title>Efektifitas Edukasi Diabetes Mellitus Dalam meningkatkan Kepatuhan Pengaturan Diet Pada Diabetes Mellitus Tipe 2</b:Title>
    <b:JournalName>Mutiara Medika</b:JournalName>
    <b:Year>2020</b:Year>
    <b:Author>
      <b:Author>
        <b:NameList>
          <b:Person>
            <b:Last>Restuning</b:Last>
            <b:First>Dyah </b:First>
          </b:Person>
        </b:NameList>
      </b:Author>
    </b:Author>
    <b:RefOrder>18</b:RefOrder>
  </b:Source>
  <b:Source>
    <b:Tag>Lia22</b:Tag>
    <b:SourceType>JournalArticle</b:SourceType>
    <b:Guid>{75E5ACD0-11BD-4545-9EE7-9447DB554799}</b:Guid>
    <b:Title>Hubungan Kepatuhan Diet Dengan Kualitas Hidup Diabetes Mellitus Tipe 2</b:Title>
    <b:JournalName>Jurnal Medika Cendikia</b:JournalName>
    <b:Year>2022</b:Year>
    <b:Author>
      <b:Author>
        <b:NameList>
          <b:Person>
            <b:Last>Liawati</b:Last>
            <b:First>Nunung</b:First>
          </b:Person>
        </b:NameList>
      </b:Author>
    </b:Author>
    <b:RefOrder>19</b:RefOrder>
  </b:Source>
  <b:Source>
    <b:Tag>Nur21</b:Tag>
    <b:SourceType>JournalArticle</b:SourceType>
    <b:Guid>{FE07CAC9-99BE-42E8-B4FF-C42FFBD4AA40}</b:Guid>
    <b:Title>Hubungan Kepatuhan Diet Terhadap Pengendalian Kadar Gula Darah Pada Pasien Diabetes Mellitus Tipe 2</b:Title>
    <b:JournalName>Jurnal Medika Hutama</b:JournalName>
    <b:Year>2021</b:Year>
    <b:Pages>1002-1010</b:Pages>
    <b:Author>
      <b:Author>
        <b:NameList>
          <b:Person>
            <b:Last>Nursihhah</b:Last>
            <b:First>Meliana</b:First>
          </b:Person>
          <b:Person>
            <b:Last>Wijaya</b:Last>
            <b:First>Dwi</b:First>
            <b:Middle>Septian</b:Middle>
          </b:Person>
        </b:NameList>
      </b:Author>
    </b:Author>
    <b:RefOrder>21</b:RefOrder>
  </b:Source>
</b:Sources>
</file>

<file path=customXml/itemProps1.xml><?xml version="1.0" encoding="utf-8"?>
<ds:datastoreItem xmlns:ds="http://schemas.openxmlformats.org/officeDocument/2006/customXml" ds:itemID="{B63B8A08-B32D-4FA2-81E8-55D958A02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3654</Words>
  <Pages>11</Pages>
  <Characters>23913</Characters>
  <Application>WPS Office</Application>
  <DocSecurity>0</DocSecurity>
  <Paragraphs>243</Paragraphs>
  <ScaleCrop>false</ScaleCrop>
  <LinksUpToDate>false</LinksUpToDate>
  <CharactersWithSpaces>27480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2025-08-02T14:01:00Z</dcterms:created>
  <dc:creator>mardana nur</dc:creator>
  <lastModifiedBy>CPH2113</lastModifiedBy>
  <dcterms:modified xsi:type="dcterms:W3CDTF">2025-08-03T05:50:34Z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y fmtid="{D5CDD505-2E9C-101B-9397-08002B2CF9AE}" pid="25" name="ICV">
    <vt:lpwstr>1084f60dcb1540c29152f6334366f24c</vt:lpwstr>
  </property>
</Properties>
</file>